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3673C">
      <w:pPr>
        <w:rPr>
          <w:rFonts w:hint="eastAsia" w:ascii="Times New Roman" w:hAnsi="Times New Roman" w:eastAsia="仿宋_GB2312" w:cs="Times New Roman"/>
          <w:color w:val="000000" w:themeColor="text1"/>
          <w:lang w:eastAsia="zh-CN"/>
          <w14:textFill>
            <w14:solidFill>
              <w14:schemeClr w14:val="tx1"/>
            </w14:solidFill>
          </w14:textFill>
        </w:rPr>
      </w:pPr>
      <w:bookmarkStart w:id="0" w:name="_Toc30436"/>
      <w:bookmarkStart w:id="1" w:name="_Toc7817"/>
      <w:bookmarkStart w:id="2" w:name="_Toc14578"/>
      <w:bookmarkStart w:id="3" w:name="_Toc11474"/>
      <w:bookmarkStart w:id="4" w:name="_Toc6990"/>
      <w:bookmarkStart w:id="5" w:name="_Toc29684"/>
      <w:bookmarkStart w:id="6" w:name="_Toc693"/>
      <w:bookmarkStart w:id="7" w:name="_Toc18858"/>
      <w:bookmarkStart w:id="8" w:name="_Toc24096"/>
      <w:bookmarkStart w:id="9" w:name="_Toc22854"/>
      <w:bookmarkStart w:id="10" w:name="_Toc251"/>
      <w:bookmarkStart w:id="11" w:name="_Toc10025"/>
      <w:bookmarkStart w:id="12" w:name="_Toc29787"/>
      <w:bookmarkStart w:id="13" w:name="_Toc4100"/>
      <w:bookmarkStart w:id="14" w:name="_Toc19820"/>
      <w:bookmarkStart w:id="15" w:name="_Toc26183"/>
      <w:bookmarkStart w:id="16" w:name="_Toc16773"/>
      <w:bookmarkStart w:id="17" w:name="_Toc20874"/>
      <w:bookmarkStart w:id="18" w:name="_Toc19800"/>
      <w:bookmarkStart w:id="19" w:name="_Toc25512"/>
      <w:bookmarkStart w:id="20" w:name="_Toc9545"/>
      <w:bookmarkStart w:id="21" w:name="_Toc848"/>
      <w:bookmarkStart w:id="22" w:name="_Toc8826"/>
      <w:bookmarkStart w:id="23" w:name="_Toc16058"/>
      <w:bookmarkStart w:id="24" w:name="_Toc32040"/>
      <w:bookmarkStart w:id="25" w:name="_Toc6595"/>
      <w:bookmarkStart w:id="26" w:name="_Toc31377"/>
      <w:bookmarkStart w:id="27" w:name="_Toc1429"/>
      <w:bookmarkStart w:id="28" w:name="_Toc19933"/>
      <w:bookmarkStart w:id="29" w:name="_Toc21814"/>
      <w:bookmarkStart w:id="30" w:name="_Toc32520"/>
      <w:bookmarkStart w:id="31" w:name="_Toc3202"/>
      <w:bookmarkStart w:id="32" w:name="_Toc12900"/>
      <w:r>
        <w:rPr>
          <w:rFonts w:hint="eastAsia" w:ascii="Times New Roman" w:hAnsi="Times New Roman" w:eastAsia="方正小标宋简体" w:cs="Times New Roman"/>
          <w:color w:val="000000" w:themeColor="text1"/>
          <w:kern w:val="0"/>
          <w:sz w:val="40"/>
          <w:szCs w:val="40"/>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3175</wp:posOffset>
            </wp:positionH>
            <wp:positionV relativeFrom="paragraph">
              <wp:posOffset>-220980</wp:posOffset>
            </wp:positionV>
            <wp:extent cx="7556500" cy="10688955"/>
            <wp:effectExtent l="0" t="0" r="6350" b="17145"/>
            <wp:wrapNone/>
            <wp:docPr id="3" name="图片 3" descr="滨江2024第一季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滨江2024第一季度"/>
                    <pic:cNvPicPr>
                      <a:picLocks noChangeAspect="1"/>
                    </pic:cNvPicPr>
                  </pic:nvPicPr>
                  <pic:blipFill>
                    <a:blip r:embed="rId9"/>
                    <a:stretch>
                      <a:fillRect/>
                    </a:stretch>
                  </pic:blipFill>
                  <pic:spPr>
                    <a:xfrm>
                      <a:off x="0" y="0"/>
                      <a:ext cx="7556500" cy="10688955"/>
                    </a:xfrm>
                    <a:prstGeom prst="rect">
                      <a:avLst/>
                    </a:prstGeom>
                  </pic:spPr>
                </pic:pic>
              </a:graphicData>
            </a:graphic>
          </wp:anchor>
        </w:drawing>
      </w:r>
    </w:p>
    <w:p w14:paraId="0AACE21D">
      <w:pPr>
        <w:pStyle w:val="18"/>
        <w:ind w:left="0" w:leftChars="0" w:firstLine="0" w:firstLineChars="0"/>
        <w:jc w:val="distribute"/>
        <w:rPr>
          <w:rFonts w:hint="eastAsia" w:ascii="Times New Roman" w:hAnsi="Times New Roman" w:eastAsia="方正小标宋简体" w:cs="Times New Roman"/>
          <w:color w:val="000000" w:themeColor="text1"/>
          <w:kern w:val="0"/>
          <w:sz w:val="40"/>
          <w:szCs w:val="40"/>
          <w:lang w:eastAsia="zh-CN"/>
          <w14:textFill>
            <w14:solidFill>
              <w14:schemeClr w14:val="tx1"/>
            </w14:solidFill>
          </w14:textFill>
        </w:rPr>
        <w:sectPr>
          <w:headerReference r:id="rId5" w:type="first"/>
          <w:pgSz w:w="11906" w:h="16838"/>
          <w:pgMar w:top="0" w:right="0" w:bottom="0" w:left="0" w:header="0" w:footer="0" w:gutter="0"/>
          <w:cols w:space="0" w:num="1"/>
          <w:titlePg/>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2D370202">
      <w:pPr>
        <w:adjustRightInd w:val="0"/>
        <w:snapToGrid w:val="0"/>
        <w:ind w:left="0" w:leftChars="0" w:firstLine="0" w:firstLineChars="0"/>
        <w:jc w:val="center"/>
        <w:rPr>
          <w:rFonts w:hint="default" w:ascii="Times New Roman" w:hAnsi="Times New Roman" w:eastAsia="方正小标宋简体" w:cs="Times New Roman"/>
          <w:color w:val="000000" w:themeColor="text1"/>
          <w:sz w:val="44"/>
          <w:szCs w:val="32"/>
          <w14:textFill>
            <w14:solidFill>
              <w14:schemeClr w14:val="tx1"/>
            </w14:solidFill>
          </w14:textFill>
        </w:rPr>
      </w:pPr>
      <w:r>
        <w:rPr>
          <w:rFonts w:hint="default" w:ascii="Times New Roman" w:hAnsi="Times New Roman" w:eastAsia="方正小标宋简体" w:cs="Times New Roman"/>
          <w:color w:val="000000" w:themeColor="text1"/>
          <w:sz w:val="44"/>
          <w:szCs w:val="32"/>
          <w14:textFill>
            <w14:solidFill>
              <w14:schemeClr w14:val="tx1"/>
            </w14:solidFill>
          </w14:textFill>
        </w:rPr>
        <w:t>目录</w:t>
      </w:r>
    </w:p>
    <w:p w14:paraId="659826DE">
      <w:pPr>
        <w:pStyle w:val="16"/>
        <w:tabs>
          <w:tab w:val="right" w:leader="dot" w:pos="8306"/>
        </w:tabs>
      </w:pPr>
      <w:r>
        <w:rPr>
          <w:rFonts w:hint="default" w:ascii="Times New Roman" w:hAnsi="Times New Roman" w:cs="Times New Roman"/>
          <w:b/>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
          <w:bCs/>
          <w:color w:val="000000" w:themeColor="text1"/>
          <w:szCs w:val="32"/>
          <w:shd w:val="clear" w:color="auto" w:fill="auto"/>
          <w14:textFill>
            <w14:solidFill>
              <w14:schemeClr w14:val="tx1"/>
            </w14:solidFill>
          </w14:textFill>
        </w:rPr>
        <w:instrText xml:space="preserve">TOC \o "1-4" \h \u </w:instrText>
      </w:r>
      <w:r>
        <w:rPr>
          <w:rFonts w:hint="default" w:ascii="Times New Roman" w:hAnsi="Times New Roman" w:cs="Times New Roman"/>
          <w:b/>
          <w:bCs/>
          <w:color w:val="000000" w:themeColor="text1"/>
          <w:szCs w:val="32"/>
          <w:shd w:val="clear" w:color="auto" w:fill="auto"/>
          <w14:textFill>
            <w14:solidFill>
              <w14:schemeClr w14:val="tx1"/>
            </w14:solidFill>
          </w14:textFill>
        </w:rPr>
        <w:fldChar w:fldCharType="separate"/>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_Toc6765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一、</w:t>
      </w:r>
      <w:r>
        <w:rPr>
          <w:rFonts w:hint="default" w:ascii="Times New Roman" w:hAnsi="Times New Roman" w:cs="Times New Roman"/>
        </w:rPr>
        <w:t>202</w:t>
      </w:r>
      <w:r>
        <w:rPr>
          <w:rFonts w:hint="eastAsia" w:cs="Times New Roman"/>
          <w:lang w:val="en-US" w:eastAsia="zh-CN"/>
        </w:rPr>
        <w:t>4</w:t>
      </w:r>
      <w:r>
        <w:rPr>
          <w:rFonts w:hint="default" w:ascii="Times New Roman" w:hAnsi="Times New Roman" w:cs="Times New Roman"/>
        </w:rPr>
        <w:t>年第</w:t>
      </w:r>
      <w:r>
        <w:rPr>
          <w:rFonts w:hint="eastAsia" w:cs="Times New Roman"/>
          <w:lang w:val="en-US" w:eastAsia="zh-CN"/>
        </w:rPr>
        <w:t>一</w:t>
      </w:r>
      <w:r>
        <w:rPr>
          <w:rFonts w:hint="default" w:ascii="Times New Roman" w:hAnsi="Times New Roman" w:cs="Times New Roman"/>
        </w:rPr>
        <w:t>季度高新区（滨江）专利数据概况</w:t>
      </w:r>
      <w:r>
        <w:tab/>
      </w:r>
      <w:r>
        <w:fldChar w:fldCharType="begin"/>
      </w:r>
      <w:r>
        <w:instrText xml:space="preserve"> PAGEREF _Toc6765 \h </w:instrText>
      </w:r>
      <w:r>
        <w:fldChar w:fldCharType="separate"/>
      </w:r>
      <w:r>
        <w:t>1</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05583114">
      <w:pPr>
        <w:pStyle w:val="20"/>
        <w:tabs>
          <w:tab w:val="right" w:leader="dot" w:pos="8306"/>
        </w:tabs>
      </w:pPr>
      <w:bookmarkStart w:id="98" w:name="_GoBack"/>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_Toc16755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（一）</w:t>
      </w:r>
      <w:r>
        <w:rPr>
          <w:rFonts w:hint="default" w:ascii="Times New Roman" w:hAnsi="Times New Roman" w:cs="Times New Roman"/>
        </w:rPr>
        <w:t>专利公开数据</w:t>
      </w:r>
      <w:r>
        <w:tab/>
      </w:r>
      <w:r>
        <w:fldChar w:fldCharType="begin"/>
      </w:r>
      <w:r>
        <w:instrText xml:space="preserve"> PAGEREF _Toc16755 \h </w:instrText>
      </w:r>
      <w:r>
        <w:fldChar w:fldCharType="separate"/>
      </w:r>
      <w:r>
        <w:t>1</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27A05D35">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_Toc19520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1．</w:t>
      </w:r>
      <w:r>
        <w:rPr>
          <w:rFonts w:hint="default" w:ascii="Times New Roman" w:hAnsi="Times New Roman" w:cs="Times New Roman"/>
        </w:rPr>
        <w:t>发明专利公开量</w:t>
      </w:r>
      <w:r>
        <w:tab/>
      </w:r>
      <w:r>
        <w:fldChar w:fldCharType="begin"/>
      </w:r>
      <w:r>
        <w:instrText xml:space="preserve"> PAGEREF _Toc19520 \h </w:instrText>
      </w:r>
      <w:r>
        <w:fldChar w:fldCharType="separate"/>
      </w:r>
      <w:r>
        <w:t>1</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bookmarkEnd w:id="98"/>
    </w:p>
    <w:p w14:paraId="342727E6">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_Toc1906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2．</w:t>
      </w:r>
      <w:r>
        <w:rPr>
          <w:rFonts w:hint="default" w:ascii="Times New Roman" w:hAnsi="Times New Roman" w:cs="Times New Roman"/>
        </w:rPr>
        <w:t>企业发明专利公开量</w:t>
      </w:r>
      <w:r>
        <w:tab/>
      </w:r>
      <w:r>
        <w:fldChar w:fldCharType="begin"/>
      </w:r>
      <w:r>
        <w:instrText xml:space="preserve"> PAGEREF _Toc1906 \h </w:instrText>
      </w:r>
      <w:r>
        <w:fldChar w:fldCharType="separate"/>
      </w:r>
      <w:r>
        <w:t>1</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6B2EDA2D">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_Toc29057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3．</w:t>
      </w:r>
      <w:r>
        <w:rPr>
          <w:rFonts w:hint="default" w:ascii="Times New Roman" w:hAnsi="Times New Roman" w:cs="Times New Roman"/>
        </w:rPr>
        <w:t>PCT专利公开量与国别分布</w:t>
      </w:r>
      <w:r>
        <w:tab/>
      </w:r>
      <w:r>
        <w:fldChar w:fldCharType="begin"/>
      </w:r>
      <w:r>
        <w:instrText xml:space="preserve"> PAGEREF _Toc29057 \h </w:instrText>
      </w:r>
      <w:r>
        <w:fldChar w:fldCharType="separate"/>
      </w:r>
      <w:r>
        <w:t>1</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6F60F62B">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_Toc21812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bCs/>
        </w:rPr>
        <w:t>（二）</w:t>
      </w:r>
      <w:r>
        <w:rPr>
          <w:rFonts w:hint="default" w:ascii="Times New Roman" w:hAnsi="Times New Roman" w:cs="Times New Roman"/>
          <w:bCs/>
        </w:rPr>
        <w:t>专利授权数据</w:t>
      </w:r>
      <w:r>
        <w:tab/>
      </w:r>
      <w:r>
        <w:fldChar w:fldCharType="begin"/>
      </w:r>
      <w:r>
        <w:instrText xml:space="preserve"> PAGEREF _Toc21812 \h </w:instrText>
      </w:r>
      <w:r>
        <w:fldChar w:fldCharType="separate"/>
      </w:r>
      <w:r>
        <w:t>2</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56D452A2">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_Toc20447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1．</w:t>
      </w:r>
      <w:r>
        <w:rPr>
          <w:rFonts w:hint="default" w:ascii="Times New Roman" w:hAnsi="Times New Roman" w:cs="Times New Roman"/>
        </w:rPr>
        <w:t>专利授权量</w:t>
      </w:r>
      <w:r>
        <w:tab/>
      </w:r>
      <w:r>
        <w:fldChar w:fldCharType="begin"/>
      </w:r>
      <w:r>
        <w:instrText xml:space="preserve"> PAGEREF _Toc20447 \h </w:instrText>
      </w:r>
      <w:r>
        <w:fldChar w:fldCharType="separate"/>
      </w:r>
      <w:r>
        <w:t>2</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667E5809">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_Toc31817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2．</w:t>
      </w:r>
      <w:r>
        <w:rPr>
          <w:rFonts w:hint="default" w:ascii="Times New Roman" w:hAnsi="Times New Roman" w:cs="Times New Roman"/>
        </w:rPr>
        <w:t>企业专利授权量</w:t>
      </w:r>
      <w:r>
        <w:tab/>
      </w:r>
      <w:r>
        <w:fldChar w:fldCharType="begin"/>
      </w:r>
      <w:r>
        <w:instrText xml:space="preserve"> PAGEREF _Toc31817 \h </w:instrText>
      </w:r>
      <w:r>
        <w:fldChar w:fldCharType="separate"/>
      </w:r>
      <w:r>
        <w:t>2</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5AF9FB67">
      <w:pPr>
        <w:pStyle w:val="16"/>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_Toc14142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二、</w:t>
      </w:r>
      <w:r>
        <w:rPr>
          <w:rFonts w:hint="default" w:ascii="Times New Roman" w:hAnsi="Times New Roman" w:cs="Times New Roman"/>
        </w:rPr>
        <w:t>海外案例</w:t>
      </w:r>
      <w:r>
        <w:rPr>
          <w:rFonts w:hint="eastAsia" w:cs="Times New Roman"/>
          <w:lang w:val="en-US" w:eastAsia="zh-CN"/>
        </w:rPr>
        <w:t>剖析</w:t>
      </w:r>
      <w:r>
        <w:tab/>
      </w:r>
      <w:r>
        <w:fldChar w:fldCharType="begin"/>
      </w:r>
      <w:r>
        <w:instrText xml:space="preserve"> PAGEREF _Toc14142 \h </w:instrText>
      </w:r>
      <w:r>
        <w:fldChar w:fldCharType="separate"/>
      </w:r>
      <w:r>
        <w:t>3</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4B21233F">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_Toc30336 </w:instrText>
      </w:r>
      <w:r>
        <w:rPr>
          <w:rFonts w:hint="default" w:ascii="Times New Roman" w:hAnsi="Times New Roman" w:cs="Times New Roman"/>
          <w:bCs/>
          <w:szCs w:val="32"/>
          <w:shd w:val="clear" w:color="auto" w:fill="auto"/>
        </w:rPr>
        <w:fldChar w:fldCharType="separate"/>
      </w:r>
      <w:r>
        <w:rPr>
          <w:rFonts w:hint="eastAsia"/>
          <w:bCs/>
          <w:lang w:val="en-US" w:eastAsia="zh-CN"/>
        </w:rPr>
        <w:t>（一）通用汽车、大众集团等先后加入Avanci 5G许可平台</w:t>
      </w:r>
      <w:r>
        <w:tab/>
      </w:r>
      <w:r>
        <w:fldChar w:fldCharType="begin"/>
      </w:r>
      <w:r>
        <w:instrText xml:space="preserve"> PAGEREF _Toc30336 \h </w:instrText>
      </w:r>
      <w:r>
        <w:fldChar w:fldCharType="separate"/>
      </w:r>
      <w:r>
        <w:t>3</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71AFC465">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_Toc10072 </w:instrText>
      </w:r>
      <w:r>
        <w:rPr>
          <w:rFonts w:hint="default" w:ascii="Times New Roman" w:hAnsi="Times New Roman" w:cs="Times New Roman"/>
          <w:bCs/>
          <w:szCs w:val="32"/>
          <w:shd w:val="clear" w:color="auto" w:fill="auto"/>
        </w:rPr>
        <w:fldChar w:fldCharType="separate"/>
      </w:r>
      <w:r>
        <w:rPr>
          <w:rFonts w:hint="eastAsia"/>
          <w:bCs/>
          <w:lang w:val="en-US" w:eastAsia="zh-CN"/>
        </w:rPr>
        <w:t>（二）</w:t>
      </w:r>
      <w:r>
        <w:rPr>
          <w:rFonts w:hint="default"/>
          <w:lang w:val="en-US" w:eastAsia="zh-CN"/>
        </w:rPr>
        <w:t>美国ITC发布金属钱夹及其组件337</w:t>
      </w:r>
      <w:r>
        <w:rPr>
          <w:rFonts w:hint="eastAsia"/>
          <w:bCs/>
          <w:lang w:val="en-US" w:eastAsia="zh-CN"/>
        </w:rPr>
        <w:t>调查</w:t>
      </w:r>
      <w:r>
        <w:rPr>
          <w:rFonts w:hint="default"/>
          <w:lang w:val="en-US" w:eastAsia="zh-CN"/>
        </w:rPr>
        <w:t>部分终裁</w:t>
      </w:r>
      <w:r>
        <w:rPr>
          <w:rFonts w:hint="eastAsia"/>
          <w:lang w:val="en-US" w:eastAsia="zh-CN"/>
        </w:rPr>
        <w:t>涉</w:t>
      </w:r>
      <w:r>
        <w:rPr>
          <w:rFonts w:hint="eastAsia"/>
          <w:bCs/>
          <w:lang w:val="en-US" w:eastAsia="zh-CN"/>
        </w:rPr>
        <w:t>杭州企业</w:t>
      </w:r>
      <w:r>
        <w:rPr>
          <w:rFonts w:hint="default"/>
        </w:rPr>
        <w:t>INSGG of Hangzhou City</w:t>
      </w:r>
      <w:r>
        <w:tab/>
      </w:r>
      <w:r>
        <w:fldChar w:fldCharType="begin"/>
      </w:r>
      <w:r>
        <w:instrText xml:space="preserve"> PAGEREF _Toc10072 \h </w:instrText>
      </w:r>
      <w:r>
        <w:fldChar w:fldCharType="separate"/>
      </w:r>
      <w:r>
        <w:t>4</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4E6C3BDF">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_Toc12587 </w:instrText>
      </w:r>
      <w:r>
        <w:rPr>
          <w:rFonts w:hint="default" w:ascii="Times New Roman" w:hAnsi="Times New Roman" w:cs="Times New Roman"/>
          <w:bCs/>
          <w:szCs w:val="32"/>
          <w:shd w:val="clear" w:color="auto" w:fill="auto"/>
        </w:rPr>
        <w:fldChar w:fldCharType="separate"/>
      </w:r>
      <w:r>
        <w:rPr>
          <w:rFonts w:hint="eastAsia"/>
          <w:lang w:eastAsia="zh-CN"/>
        </w:rPr>
        <w:t>（</w:t>
      </w:r>
      <w:r>
        <w:rPr>
          <w:rFonts w:hint="eastAsia"/>
          <w:bCs/>
          <w:lang w:val="en-US" w:eastAsia="zh-CN"/>
        </w:rPr>
        <w:t>三</w:t>
      </w:r>
      <w:r>
        <w:rPr>
          <w:rFonts w:hint="eastAsia"/>
          <w:lang w:eastAsia="zh-CN"/>
        </w:rPr>
        <w:t>）</w:t>
      </w:r>
      <w:r>
        <w:rPr>
          <w:rFonts w:hint="eastAsia"/>
          <w:bCs/>
        </w:rPr>
        <w:t>海能达遭美国全球禁令，提示中国企业出海需高度重视知识产权合规</w:t>
      </w:r>
      <w:r>
        <w:tab/>
      </w:r>
      <w:r>
        <w:fldChar w:fldCharType="begin"/>
      </w:r>
      <w:r>
        <w:instrText xml:space="preserve"> PAGEREF _Toc12587 \h </w:instrText>
      </w:r>
      <w:r>
        <w:fldChar w:fldCharType="separate"/>
      </w:r>
      <w:r>
        <w:t>7</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6E6682F5">
      <w:pPr>
        <w:pStyle w:val="16"/>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_Toc17935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三、</w:t>
      </w:r>
      <w:r>
        <w:rPr>
          <w:rFonts w:hint="default" w:ascii="Times New Roman" w:hAnsi="Times New Roman" w:cs="Times New Roman"/>
        </w:rPr>
        <w:t>国内外知识产权动态</w:t>
      </w:r>
      <w:r>
        <w:tab/>
      </w:r>
      <w:r>
        <w:fldChar w:fldCharType="begin"/>
      </w:r>
      <w:r>
        <w:instrText xml:space="preserve"> PAGEREF _Toc17935 \h </w:instrText>
      </w:r>
      <w:r>
        <w:fldChar w:fldCharType="separate"/>
      </w:r>
      <w:r>
        <w:t>9</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2A6C96F7">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_Toc6649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bCs/>
        </w:rPr>
        <w:t>（一）</w:t>
      </w:r>
      <w:r>
        <w:rPr>
          <w:rFonts w:hint="default" w:ascii="Times New Roman" w:hAnsi="Times New Roman" w:cs="Times New Roman"/>
          <w:bCs/>
        </w:rPr>
        <w:t>国内外知识产权法律法规动态</w:t>
      </w:r>
      <w:r>
        <w:tab/>
      </w:r>
      <w:r>
        <w:fldChar w:fldCharType="begin"/>
      </w:r>
      <w:r>
        <w:instrText xml:space="preserve"> PAGEREF _Toc6649 \h </w:instrText>
      </w:r>
      <w:r>
        <w:fldChar w:fldCharType="separate"/>
      </w:r>
      <w:r>
        <w:t>9</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3935FF52">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_Toc10606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1．</w:t>
      </w:r>
      <w:r>
        <w:rPr>
          <w:rFonts w:hint="default" w:ascii="Times New Roman" w:hAnsi="Times New Roman" w:cs="Times New Roman"/>
        </w:rPr>
        <w:t>国内知识产权法律法规动态</w:t>
      </w:r>
      <w:r>
        <w:tab/>
      </w:r>
      <w:r>
        <w:fldChar w:fldCharType="begin"/>
      </w:r>
      <w:r>
        <w:instrText xml:space="preserve"> PAGEREF _Toc10606 \h </w:instrText>
      </w:r>
      <w:r>
        <w:fldChar w:fldCharType="separate"/>
      </w:r>
      <w:r>
        <w:t>9</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5276EC5C">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_Toc20642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2．</w:t>
      </w:r>
      <w:r>
        <w:rPr>
          <w:rFonts w:hint="default" w:ascii="Times New Roman" w:hAnsi="Times New Roman" w:cs="Times New Roman"/>
        </w:rPr>
        <w:t>国外知识产权法律法规动态</w:t>
      </w:r>
      <w:r>
        <w:tab/>
      </w:r>
      <w:r>
        <w:fldChar w:fldCharType="begin"/>
      </w:r>
      <w:r>
        <w:instrText xml:space="preserve"> PAGEREF _Toc20642 \h </w:instrText>
      </w:r>
      <w:r>
        <w:fldChar w:fldCharType="separate"/>
      </w:r>
      <w:r>
        <w:t>9</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70F5E16B">
      <w:pPr>
        <w:pStyle w:val="20"/>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_Toc13498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（二）</w:t>
      </w:r>
      <w:r>
        <w:rPr>
          <w:rFonts w:hint="default" w:ascii="Times New Roman" w:hAnsi="Times New Roman" w:cs="Times New Roman"/>
        </w:rPr>
        <w:t>国内外知识产权资讯</w:t>
      </w:r>
      <w:r>
        <w:tab/>
      </w:r>
      <w:r>
        <w:fldChar w:fldCharType="begin"/>
      </w:r>
      <w:r>
        <w:instrText xml:space="preserve"> PAGEREF _Toc13498 \h </w:instrText>
      </w:r>
      <w:r>
        <w:fldChar w:fldCharType="separate"/>
      </w:r>
      <w:r>
        <w:t>10</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78074523">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_Toc11269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1．</w:t>
      </w:r>
      <w:r>
        <w:rPr>
          <w:rFonts w:hint="default" w:ascii="Times New Roman" w:hAnsi="Times New Roman" w:cs="Times New Roman"/>
        </w:rPr>
        <w:t>国内知识产权资讯</w:t>
      </w:r>
      <w:r>
        <w:tab/>
      </w:r>
      <w:r>
        <w:fldChar w:fldCharType="begin"/>
      </w:r>
      <w:r>
        <w:instrText xml:space="preserve"> PAGEREF _Toc11269 \h </w:instrText>
      </w:r>
      <w:r>
        <w:fldChar w:fldCharType="separate"/>
      </w:r>
      <w:r>
        <w:t>10</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2D76AB6A">
      <w:pPr>
        <w:pStyle w:val="12"/>
        <w:tabs>
          <w:tab w:val="right" w:leader="dot" w:pos="8306"/>
        </w:tabs>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begin"/>
      </w:r>
      <w:r>
        <w:rPr>
          <w:rFonts w:hint="default" w:ascii="Times New Roman" w:hAnsi="Times New Roman" w:cs="Times New Roman"/>
          <w:bCs/>
          <w:szCs w:val="32"/>
          <w:shd w:val="clear" w:color="auto" w:fill="auto"/>
        </w:rPr>
        <w:instrText xml:space="preserve"> HYPERLINK \l _Toc2396 </w:instrText>
      </w:r>
      <w:r>
        <w:rPr>
          <w:rFonts w:hint="default" w:ascii="Times New Roman" w:hAnsi="Times New Roman" w:cs="Times New Roman"/>
          <w:bCs/>
          <w:szCs w:val="32"/>
          <w:shd w:val="clear" w:color="auto" w:fill="auto"/>
        </w:rPr>
        <w:fldChar w:fldCharType="separate"/>
      </w:r>
      <w:r>
        <w:rPr>
          <w:rFonts w:hint="eastAsia" w:ascii="Times New Roman" w:hAnsi="Times New Roman" w:cs="Times New Roman"/>
        </w:rPr>
        <w:t>2．</w:t>
      </w:r>
      <w:r>
        <w:rPr>
          <w:rFonts w:hint="default" w:ascii="Times New Roman" w:hAnsi="Times New Roman" w:cs="Times New Roman"/>
        </w:rPr>
        <w:t>国外知识产权资讯</w:t>
      </w:r>
      <w:r>
        <w:tab/>
      </w:r>
      <w:r>
        <w:fldChar w:fldCharType="begin"/>
      </w:r>
      <w:r>
        <w:instrText xml:space="preserve"> PAGEREF _Toc2396 \h </w:instrText>
      </w:r>
      <w:r>
        <w:fldChar w:fldCharType="separate"/>
      </w:r>
      <w:r>
        <w:t>13</w:t>
      </w:r>
      <w:r>
        <w:fldChar w:fldCharType="end"/>
      </w: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p>
    <w:p w14:paraId="3299C63C">
      <w:pPr>
        <w:tabs>
          <w:tab w:val="right" w:pos="8306"/>
        </w:tabs>
        <w:ind w:firstLine="640"/>
        <w:jc w:val="both"/>
        <w:rPr>
          <w:rFonts w:hint="default" w:ascii="Times New Roman" w:hAnsi="Times New Roman" w:cs="Times New Roman"/>
          <w:bCs/>
          <w:color w:val="000000" w:themeColor="text1"/>
          <w:szCs w:val="32"/>
          <w14:textFill>
            <w14:solidFill>
              <w14:schemeClr w14:val="tx1"/>
            </w14:solidFill>
          </w14:textFill>
        </w:rPr>
      </w:pPr>
      <w:r>
        <w:rPr>
          <w:rFonts w:hint="default" w:ascii="Times New Roman" w:hAnsi="Times New Roman" w:cs="Times New Roman"/>
          <w:bCs/>
          <w:color w:val="000000" w:themeColor="text1"/>
          <w:szCs w:val="32"/>
          <w:shd w:val="clear" w:color="auto" w:fill="auto"/>
          <w14:textFill>
            <w14:solidFill>
              <w14:schemeClr w14:val="tx1"/>
            </w14:solidFill>
          </w14:textFill>
        </w:rPr>
        <w:fldChar w:fldCharType="end"/>
      </w:r>
      <w:bookmarkStart w:id="33" w:name="_Toc23249"/>
      <w:bookmarkStart w:id="34" w:name="_Hlk46490788"/>
    </w:p>
    <w:p w14:paraId="18B69980">
      <w:pPr>
        <w:pStyle w:val="2"/>
        <w:ind w:firstLine="640"/>
        <w:rPr>
          <w:rFonts w:hint="default" w:ascii="Times New Roman" w:hAnsi="Times New Roman" w:eastAsia="仿宋_GB2312" w:cs="Times New Roman"/>
          <w:color w:val="000000" w:themeColor="text1"/>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571CE2EC">
      <w:pPr>
        <w:pStyle w:val="2"/>
        <w:ind w:firstLine="640"/>
        <w:rPr>
          <w:rFonts w:hint="default" w:ascii="Times New Roman" w:hAnsi="Times New Roman" w:cs="Times New Roman"/>
          <w:color w:val="000000" w:themeColor="text1"/>
          <w14:textFill>
            <w14:solidFill>
              <w14:schemeClr w14:val="tx1"/>
            </w14:solidFill>
          </w14:textFill>
        </w:rPr>
      </w:pPr>
      <w:bookmarkStart w:id="35" w:name="_Toc20652"/>
      <w:bookmarkStart w:id="36" w:name="_Toc6765"/>
      <w:bookmarkStart w:id="37" w:name="_Toc15508"/>
      <w:r>
        <w:rPr>
          <w:rFonts w:hint="default" w:ascii="Times New Roman" w:hAnsi="Times New Roman"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年第</w:t>
      </w:r>
      <w:r>
        <w:rPr>
          <w:rFonts w:hint="eastAsia"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季度高新区（滨江）专利数据概况</w:t>
      </w:r>
      <w:bookmarkEnd w:id="33"/>
      <w:bookmarkEnd w:id="35"/>
      <w:bookmarkEnd w:id="36"/>
      <w:bookmarkEnd w:id="37"/>
    </w:p>
    <w:p w14:paraId="799B8FEB">
      <w:pPr>
        <w:pStyle w:val="3"/>
        <w:ind w:firstLine="640"/>
        <w:rPr>
          <w:rFonts w:hint="default" w:ascii="Times New Roman" w:hAnsi="Times New Roman" w:cs="Times New Roman"/>
          <w:color w:val="000000" w:themeColor="text1"/>
          <w14:textFill>
            <w14:solidFill>
              <w14:schemeClr w14:val="tx1"/>
            </w14:solidFill>
          </w14:textFill>
        </w:rPr>
      </w:pPr>
      <w:bookmarkStart w:id="38" w:name="_Toc25636"/>
      <w:bookmarkStart w:id="39" w:name="_Toc16755"/>
      <w:bookmarkStart w:id="40" w:name="_Toc22444"/>
      <w:r>
        <w:rPr>
          <w:rFonts w:hint="default" w:ascii="Times New Roman" w:hAnsi="Times New Roman" w:cs="Times New Roman"/>
          <w:color w:val="000000" w:themeColor="text1"/>
          <w14:textFill>
            <w14:solidFill>
              <w14:schemeClr w14:val="tx1"/>
            </w14:solidFill>
          </w14:textFill>
        </w:rPr>
        <w:t>专利公开数据</w:t>
      </w:r>
      <w:bookmarkEnd w:id="38"/>
      <w:bookmarkEnd w:id="39"/>
      <w:bookmarkEnd w:id="40"/>
    </w:p>
    <w:bookmarkEnd w:id="34"/>
    <w:p w14:paraId="64380FA3">
      <w:pPr>
        <w:pStyle w:val="4"/>
        <w:ind w:firstLine="643"/>
        <w:rPr>
          <w:rFonts w:hint="default" w:ascii="Times New Roman" w:hAnsi="Times New Roman" w:cs="Times New Roman"/>
          <w:color w:val="000000" w:themeColor="text1"/>
          <w14:textFill>
            <w14:solidFill>
              <w14:schemeClr w14:val="tx1"/>
            </w14:solidFill>
          </w14:textFill>
        </w:rPr>
      </w:pPr>
      <w:bookmarkStart w:id="41" w:name="_Toc11289"/>
      <w:bookmarkStart w:id="42" w:name="_Toc19520"/>
      <w:bookmarkStart w:id="43" w:name="_Toc7371"/>
      <w:bookmarkStart w:id="44" w:name="_Toc25465"/>
      <w:bookmarkStart w:id="45" w:name="_Hlk46490865"/>
      <w:r>
        <w:rPr>
          <w:rFonts w:hint="default" w:ascii="Times New Roman" w:hAnsi="Times New Roman" w:cs="Times New Roman"/>
          <w:color w:val="000000" w:themeColor="text1"/>
          <w14:textFill>
            <w14:solidFill>
              <w14:schemeClr w14:val="tx1"/>
            </w14:solidFill>
          </w14:textFill>
        </w:rPr>
        <w:t>发明专利公开量</w:t>
      </w:r>
      <w:bookmarkEnd w:id="41"/>
      <w:bookmarkEnd w:id="42"/>
      <w:bookmarkEnd w:id="43"/>
      <w:bookmarkEnd w:id="44"/>
    </w:p>
    <w:p w14:paraId="2FD38967">
      <w:pPr>
        <w:tabs>
          <w:tab w:val="right" w:pos="8306"/>
        </w:tabs>
        <w:ind w:firstLine="640"/>
        <w:jc w:val="left"/>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全区</w:t>
      </w:r>
      <w:bookmarkEnd w:id="45"/>
      <w:r>
        <w:rPr>
          <w:rFonts w:hint="default" w:ascii="Times New Roman" w:hAnsi="Times New Roman" w:cs="Times New Roman"/>
          <w:color w:val="000000" w:themeColor="text1"/>
          <w:szCs w:val="32"/>
          <w14:textFill>
            <w14:solidFill>
              <w14:schemeClr w14:val="tx1"/>
            </w14:solidFill>
          </w14:textFill>
        </w:rPr>
        <w:t>发明专利公开量</w:t>
      </w:r>
      <w:r>
        <w:rPr>
          <w:rFonts w:hint="eastAsia" w:cs="Times New Roman"/>
          <w:color w:val="000000" w:themeColor="text1"/>
          <w:szCs w:val="32"/>
          <w:lang w:val="en-US" w:eastAsia="zh-CN"/>
          <w14:textFill>
            <w14:solidFill>
              <w14:schemeClr w14:val="tx1"/>
            </w14:solidFill>
          </w14:textFill>
        </w:rPr>
        <w:t>6151</w:t>
      </w:r>
      <w:r>
        <w:rPr>
          <w:rFonts w:hint="default" w:ascii="Times New Roman" w:hAnsi="Times New Roman" w:cs="Times New Roman"/>
          <w:color w:val="000000" w:themeColor="text1"/>
          <w:szCs w:val="32"/>
          <w14:textFill>
            <w14:solidFill>
              <w14:schemeClr w14:val="tx1"/>
            </w14:solidFill>
          </w14:textFill>
        </w:rPr>
        <w:t>件，同比增长</w:t>
      </w:r>
      <w:r>
        <w:rPr>
          <w:rFonts w:hint="eastAsia" w:cs="Times New Roman"/>
          <w:color w:val="000000" w:themeColor="text1"/>
          <w:szCs w:val="32"/>
          <w:lang w:val="en-US" w:eastAsia="zh-CN"/>
          <w14:textFill>
            <w14:solidFill>
              <w14:schemeClr w14:val="tx1"/>
            </w14:solidFill>
          </w14:textFill>
        </w:rPr>
        <w:t>43.28</w:t>
      </w:r>
      <w:r>
        <w:rPr>
          <w:rFonts w:hint="default" w:ascii="Times New Roman" w:hAnsi="Times New Roman" w:cs="Times New Roman"/>
          <w:color w:val="000000" w:themeColor="text1"/>
          <w:szCs w:val="32"/>
          <w14:textFill>
            <w14:solidFill>
              <w14:schemeClr w14:val="tx1"/>
            </w14:solidFill>
          </w14:textFill>
        </w:rPr>
        <w:t>%，占专利公开总量的</w:t>
      </w:r>
      <w:r>
        <w:rPr>
          <w:rFonts w:hint="eastAsia" w:cs="Times New Roman"/>
          <w:color w:val="000000" w:themeColor="text1"/>
          <w:szCs w:val="32"/>
          <w:lang w:val="en-US" w:eastAsia="zh-CN"/>
          <w14:textFill>
            <w14:solidFill>
              <w14:schemeClr w14:val="tx1"/>
            </w14:solidFill>
          </w14:textFill>
        </w:rPr>
        <w:t>70.99</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发明专利占比较去年同期增加</w:t>
      </w:r>
      <w:r>
        <w:rPr>
          <w:rFonts w:hint="eastAsia" w:cs="Times New Roman"/>
          <w:color w:val="000000" w:themeColor="text1"/>
          <w:szCs w:val="32"/>
          <w:lang w:val="en-US" w:eastAsia="zh-CN"/>
          <w14:textFill>
            <w14:solidFill>
              <w14:schemeClr w14:val="tx1"/>
            </w14:solidFill>
          </w14:textFill>
        </w:rPr>
        <w:t>9.98</w:t>
      </w:r>
      <w:r>
        <w:rPr>
          <w:rFonts w:hint="default" w:ascii="Times New Roman" w:hAnsi="Times New Roman" w:cs="Times New Roman"/>
          <w:color w:val="000000" w:themeColor="text1"/>
          <w:szCs w:val="32"/>
          <w14:textFill>
            <w14:solidFill>
              <w14:schemeClr w14:val="tx1"/>
            </w14:solidFill>
          </w14:textFill>
        </w:rPr>
        <w:t>个百分点。</w:t>
      </w:r>
    </w:p>
    <w:p w14:paraId="6B8A6FB3">
      <w:pPr>
        <w:pStyle w:val="4"/>
        <w:ind w:firstLine="643"/>
        <w:rPr>
          <w:rFonts w:hint="default" w:ascii="Times New Roman" w:hAnsi="Times New Roman" w:cs="Times New Roman"/>
          <w:color w:val="000000" w:themeColor="text1"/>
          <w14:textFill>
            <w14:solidFill>
              <w14:schemeClr w14:val="tx1"/>
            </w14:solidFill>
          </w14:textFill>
        </w:rPr>
      </w:pPr>
      <w:bookmarkStart w:id="46" w:name="_Toc19369"/>
      <w:bookmarkStart w:id="47" w:name="_Toc6201"/>
      <w:bookmarkStart w:id="48" w:name="_Toc12227"/>
      <w:bookmarkStart w:id="49" w:name="_Toc1906"/>
      <w:bookmarkStart w:id="50" w:name="_Hlk47688139"/>
      <w:r>
        <w:rPr>
          <w:rFonts w:hint="default" w:ascii="Times New Roman" w:hAnsi="Times New Roman" w:cs="Times New Roman"/>
          <w:color w:val="000000" w:themeColor="text1"/>
          <w14:textFill>
            <w14:solidFill>
              <w14:schemeClr w14:val="tx1"/>
            </w14:solidFill>
          </w14:textFill>
        </w:rPr>
        <w:t>企业发明专利公开量</w:t>
      </w:r>
      <w:bookmarkEnd w:id="46"/>
      <w:bookmarkEnd w:id="47"/>
      <w:bookmarkEnd w:id="48"/>
      <w:bookmarkEnd w:id="49"/>
    </w:p>
    <w:p w14:paraId="7D14D080">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全区企业发明专利公开量</w:t>
      </w:r>
      <w:r>
        <w:rPr>
          <w:rFonts w:hint="eastAsia" w:cs="Times New Roman"/>
          <w:color w:val="000000" w:themeColor="text1"/>
          <w:szCs w:val="32"/>
          <w:lang w:val="en-US" w:eastAsia="zh-CN"/>
          <w14:textFill>
            <w14:solidFill>
              <w14:schemeClr w14:val="tx1"/>
            </w14:solidFill>
          </w14:textFill>
        </w:rPr>
        <w:t>5992</w:t>
      </w:r>
      <w:r>
        <w:rPr>
          <w:rFonts w:hint="default" w:ascii="Times New Roman" w:hAnsi="Times New Roman" w:cs="Times New Roman"/>
          <w:color w:val="000000" w:themeColor="text1"/>
          <w:szCs w:val="32"/>
          <w14:textFill>
            <w14:solidFill>
              <w14:schemeClr w14:val="tx1"/>
            </w14:solidFill>
          </w14:textFill>
        </w:rPr>
        <w:t>件，同比增长</w:t>
      </w:r>
      <w:r>
        <w:rPr>
          <w:rFonts w:hint="eastAsia" w:cs="Times New Roman"/>
          <w:color w:val="000000" w:themeColor="text1"/>
          <w:szCs w:val="32"/>
          <w:lang w:val="en-US" w:eastAsia="zh-CN"/>
          <w14:textFill>
            <w14:solidFill>
              <w14:schemeClr w14:val="tx1"/>
            </w14:solidFill>
          </w14:textFill>
        </w:rPr>
        <w:t>45.68</w:t>
      </w:r>
      <w:r>
        <w:rPr>
          <w:rFonts w:hint="default" w:ascii="Times New Roman" w:hAnsi="Times New Roman" w:cs="Times New Roman"/>
          <w:color w:val="000000" w:themeColor="text1"/>
          <w:szCs w:val="32"/>
          <w14:textFill>
            <w14:solidFill>
              <w14:schemeClr w14:val="tx1"/>
            </w14:solidFill>
          </w14:textFill>
        </w:rPr>
        <w:t>%，占企业专利公开总量的</w:t>
      </w:r>
      <w:r>
        <w:rPr>
          <w:rFonts w:hint="eastAsia" w:cs="Times New Roman"/>
          <w:color w:val="000000" w:themeColor="text1"/>
          <w:szCs w:val="32"/>
          <w:lang w:val="en-US" w:eastAsia="zh-CN"/>
          <w14:textFill>
            <w14:solidFill>
              <w14:schemeClr w14:val="tx1"/>
            </w14:solidFill>
          </w14:textFill>
        </w:rPr>
        <w:t>71.18</w:t>
      </w:r>
      <w:r>
        <w:rPr>
          <w:rFonts w:hint="default" w:ascii="Times New Roman" w:hAnsi="Times New Roman" w:cs="Times New Roman"/>
          <w:color w:val="000000" w:themeColor="text1"/>
          <w:szCs w:val="32"/>
          <w14:textFill>
            <w14:solidFill>
              <w14:schemeClr w14:val="tx1"/>
            </w14:solidFill>
          </w14:textFill>
        </w:rPr>
        <w:t>%，企业发明专利占比较去年同期增加</w:t>
      </w:r>
      <w:r>
        <w:rPr>
          <w:rFonts w:hint="eastAsia" w:cs="Times New Roman"/>
          <w:color w:val="000000" w:themeColor="text1"/>
          <w:szCs w:val="32"/>
          <w:lang w:val="en-US" w:eastAsia="zh-CN"/>
          <w14:textFill>
            <w14:solidFill>
              <w14:schemeClr w14:val="tx1"/>
            </w14:solidFill>
          </w14:textFill>
        </w:rPr>
        <w:t>9.87</w:t>
      </w:r>
      <w:r>
        <w:rPr>
          <w:rFonts w:hint="default" w:ascii="Times New Roman" w:hAnsi="Times New Roman" w:cs="Times New Roman"/>
          <w:color w:val="000000" w:themeColor="text1"/>
          <w:szCs w:val="32"/>
          <w14:textFill>
            <w14:solidFill>
              <w14:schemeClr w14:val="tx1"/>
            </w14:solidFill>
          </w14:textFill>
        </w:rPr>
        <w:t>个百分点。</w:t>
      </w:r>
    </w:p>
    <w:p w14:paraId="3F672F90">
      <w:pPr>
        <w:pStyle w:val="4"/>
        <w:ind w:firstLine="643"/>
        <w:rPr>
          <w:rFonts w:hint="default" w:ascii="Times New Roman" w:hAnsi="Times New Roman" w:cs="Times New Roman"/>
          <w:color w:val="000000" w:themeColor="text1"/>
          <w14:textFill>
            <w14:solidFill>
              <w14:schemeClr w14:val="tx1"/>
            </w14:solidFill>
          </w14:textFill>
        </w:rPr>
      </w:pPr>
      <w:bookmarkStart w:id="51" w:name="_Toc26259"/>
      <w:bookmarkStart w:id="52" w:name="_Toc8001"/>
      <w:bookmarkStart w:id="53" w:name="_Toc29057"/>
      <w:r>
        <w:rPr>
          <w:rFonts w:hint="default" w:ascii="Times New Roman" w:hAnsi="Times New Roman" w:cs="Times New Roman"/>
          <w:color w:val="000000" w:themeColor="text1"/>
          <w14:textFill>
            <w14:solidFill>
              <w14:schemeClr w14:val="tx1"/>
            </w14:solidFill>
          </w14:textFill>
        </w:rPr>
        <w:t>PCT专利公开量与国别分布</w:t>
      </w:r>
      <w:bookmarkEnd w:id="51"/>
      <w:bookmarkEnd w:id="52"/>
      <w:bookmarkEnd w:id="53"/>
    </w:p>
    <w:p w14:paraId="23805F3E">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PCT专利公开量</w:t>
      </w:r>
      <w:bookmarkEnd w:id="50"/>
      <w:r>
        <w:rPr>
          <w:rFonts w:hint="eastAsia" w:cs="Times New Roman"/>
          <w:color w:val="000000" w:themeColor="text1"/>
          <w:szCs w:val="32"/>
          <w:lang w:val="en-US" w:eastAsia="zh-CN"/>
          <w14:textFill>
            <w14:solidFill>
              <w14:schemeClr w14:val="tx1"/>
            </w14:solidFill>
          </w14:textFill>
        </w:rPr>
        <w:t>196</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增长19.51</w:t>
      </w:r>
      <w:r>
        <w:rPr>
          <w:rFonts w:hint="default" w:ascii="Times New Roman" w:hAnsi="Times New Roman" w:cs="Times New Roman"/>
          <w:color w:val="000000" w:themeColor="text1"/>
          <w:szCs w:val="32"/>
          <w14:textFill>
            <w14:solidFill>
              <w14:schemeClr w14:val="tx1"/>
            </w14:solidFill>
          </w14:textFill>
        </w:rPr>
        <w:t>%。</w:t>
      </w:r>
    </w:p>
    <w:p w14:paraId="1DDABF05">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境外国别分布，显示第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季度新增公开境外同族专利出口目的地国前三位为</w:t>
      </w:r>
      <w:r>
        <w:rPr>
          <w:rFonts w:hint="eastAsia" w:cs="Times New Roman"/>
          <w:color w:val="000000" w:themeColor="text1"/>
          <w:szCs w:val="32"/>
          <w:lang w:val="en-US" w:eastAsia="zh-CN"/>
          <w14:textFill>
            <w14:solidFill>
              <w14:schemeClr w14:val="tx1"/>
            </w14:solidFill>
          </w14:textFill>
        </w:rPr>
        <w:t>美国88</w:t>
      </w:r>
      <w:r>
        <w:rPr>
          <w:rFonts w:hint="default" w:ascii="Times New Roman" w:hAnsi="Times New Roman" w:cs="Times New Roman"/>
          <w:color w:val="000000" w:themeColor="text1"/>
          <w:szCs w:val="32"/>
          <w14:textFill>
            <w14:solidFill>
              <w14:schemeClr w14:val="tx1"/>
            </w14:solidFill>
          </w14:textFill>
        </w:rPr>
        <w:t>件、</w:t>
      </w:r>
      <w:r>
        <w:rPr>
          <w:rFonts w:hint="eastAsia" w:cs="Times New Roman"/>
          <w:color w:val="000000" w:themeColor="text1"/>
          <w:szCs w:val="32"/>
          <w:lang w:val="en-US" w:eastAsia="zh-CN"/>
          <w14:textFill>
            <w14:solidFill>
              <w14:schemeClr w14:val="tx1"/>
            </w14:solidFill>
          </w14:textFill>
        </w:rPr>
        <w:t>欧洲55</w:t>
      </w:r>
      <w:r>
        <w:rPr>
          <w:rFonts w:hint="default" w:ascii="Times New Roman" w:hAnsi="Times New Roman" w:cs="Times New Roman"/>
          <w:color w:val="000000" w:themeColor="text1"/>
          <w:szCs w:val="32"/>
          <w14:textFill>
            <w14:solidFill>
              <w14:schemeClr w14:val="tx1"/>
            </w14:solidFill>
          </w14:textFill>
        </w:rPr>
        <w:t>件</w:t>
      </w:r>
      <w:r>
        <w:rPr>
          <w:rFonts w:hint="eastAsia" w:cs="Times New Roman"/>
          <w:color w:val="000000" w:themeColor="text1"/>
          <w:szCs w:val="32"/>
          <w:lang w:eastAsia="zh-CN"/>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日本49</w:t>
      </w:r>
      <w:r>
        <w:rPr>
          <w:rFonts w:hint="default" w:ascii="Times New Roman" w:hAnsi="Times New Roman" w:cs="Times New Roman"/>
          <w:color w:val="000000" w:themeColor="text1"/>
          <w:szCs w:val="32"/>
          <w14:textFill>
            <w14:solidFill>
              <w14:schemeClr w14:val="tx1"/>
            </w14:solidFill>
          </w14:textFill>
        </w:rPr>
        <w:t>件。</w:t>
      </w:r>
    </w:p>
    <w:p w14:paraId="665702C0">
      <w:pPr>
        <w:tabs>
          <w:tab w:val="right" w:pos="8306"/>
        </w:tabs>
        <w:ind w:firstLine="0" w:firstLineChars="0"/>
        <w:contextualSpacing/>
        <w:jc w:val="center"/>
        <w:rPr>
          <w:rFonts w:hint="default" w:ascii="Times New Roman" w:hAnsi="Times New Roman" w:cs="Times New Roman"/>
          <w:color w:val="000000" w:themeColor="text1"/>
          <w14:textFill>
            <w14:solidFill>
              <w14:schemeClr w14:val="tx1"/>
            </w14:solidFill>
          </w14:textFill>
        </w:rPr>
      </w:pPr>
      <w:r>
        <w:drawing>
          <wp:inline distT="0" distB="0" distL="114300" distR="114300">
            <wp:extent cx="4375150" cy="2558415"/>
            <wp:effectExtent l="4445" t="4445" r="20955"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94B312">
      <w:pPr>
        <w:pStyle w:val="11"/>
        <w:ind w:left="0" w:leftChars="0" w:firstLine="0" w:firstLineChars="0"/>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图1 高新区（滨江）202</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年第</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一</w:t>
      </w:r>
      <w:r>
        <w:rPr>
          <w:rFonts w:hint="default" w:ascii="Times New Roman" w:hAnsi="Times New Roman" w:cs="Times New Roman"/>
          <w:b w:val="0"/>
          <w:bCs w:val="0"/>
          <w:color w:val="000000" w:themeColor="text1"/>
          <w:sz w:val="24"/>
          <w:szCs w:val="24"/>
          <w14:textFill>
            <w14:solidFill>
              <w14:schemeClr w14:val="tx1"/>
            </w14:solidFill>
          </w14:textFill>
        </w:rPr>
        <w:t>季度新增公开境外同族专利国别/地区分布图</w:t>
      </w:r>
    </w:p>
    <w:p w14:paraId="6115ABA8">
      <w:pPr>
        <w:pStyle w:val="3"/>
        <w:ind w:firstLine="643"/>
        <w:rPr>
          <w:rFonts w:hint="default" w:ascii="Times New Roman" w:hAnsi="Times New Roman" w:cs="Times New Roman"/>
          <w:b w:val="0"/>
          <w:bCs/>
          <w:color w:val="000000" w:themeColor="text1"/>
          <w14:textFill>
            <w14:solidFill>
              <w14:schemeClr w14:val="tx1"/>
            </w14:solidFill>
          </w14:textFill>
        </w:rPr>
      </w:pPr>
      <w:bookmarkStart w:id="54" w:name="_Toc22432"/>
      <w:bookmarkStart w:id="55" w:name="_Toc32702"/>
      <w:bookmarkStart w:id="56" w:name="_Toc21812"/>
      <w:bookmarkStart w:id="57" w:name="_Toc12166"/>
      <w:r>
        <w:rPr>
          <w:rFonts w:hint="default" w:ascii="Times New Roman" w:hAnsi="Times New Roman" w:cs="Times New Roman"/>
          <w:b w:val="0"/>
          <w:bCs/>
          <w:color w:val="000000" w:themeColor="text1"/>
          <w14:textFill>
            <w14:solidFill>
              <w14:schemeClr w14:val="tx1"/>
            </w14:solidFill>
          </w14:textFill>
        </w:rPr>
        <w:t>专利授权数据</w:t>
      </w:r>
      <w:bookmarkEnd w:id="54"/>
      <w:bookmarkEnd w:id="55"/>
      <w:bookmarkEnd w:id="56"/>
    </w:p>
    <w:p w14:paraId="3E3EBC18">
      <w:pPr>
        <w:pStyle w:val="4"/>
        <w:ind w:firstLine="643"/>
        <w:rPr>
          <w:rFonts w:hint="default" w:ascii="Times New Roman" w:hAnsi="Times New Roman" w:cs="Times New Roman"/>
          <w:color w:val="000000" w:themeColor="text1"/>
          <w14:textFill>
            <w14:solidFill>
              <w14:schemeClr w14:val="tx1"/>
            </w14:solidFill>
          </w14:textFill>
        </w:rPr>
      </w:pPr>
      <w:bookmarkStart w:id="58" w:name="_Toc6677"/>
      <w:bookmarkStart w:id="59" w:name="_Toc5520"/>
      <w:bookmarkStart w:id="60" w:name="_Toc20447"/>
      <w:r>
        <w:rPr>
          <w:rFonts w:hint="default" w:ascii="Times New Roman" w:hAnsi="Times New Roman" w:cs="Times New Roman"/>
          <w:color w:val="000000" w:themeColor="text1"/>
          <w14:textFill>
            <w14:solidFill>
              <w14:schemeClr w14:val="tx1"/>
            </w14:solidFill>
          </w14:textFill>
        </w:rPr>
        <w:t>专利授权量</w:t>
      </w:r>
      <w:bookmarkEnd w:id="58"/>
      <w:bookmarkEnd w:id="59"/>
      <w:bookmarkEnd w:id="60"/>
    </w:p>
    <w:p w14:paraId="5C6DC09C">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全区专利授权量</w:t>
      </w:r>
      <w:r>
        <w:rPr>
          <w:rFonts w:hint="eastAsia" w:cs="Times New Roman"/>
          <w:color w:val="000000" w:themeColor="text1"/>
          <w:szCs w:val="32"/>
          <w:lang w:val="en-US" w:eastAsia="zh-CN"/>
          <w14:textFill>
            <w14:solidFill>
              <w14:schemeClr w14:val="tx1"/>
            </w14:solidFill>
          </w14:textFill>
        </w:rPr>
        <w:t>4821</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w:t>
      </w:r>
      <w:r>
        <w:rPr>
          <w:rFonts w:hint="default" w:ascii="Times New Roman" w:hAnsi="Times New Roman" w:cs="Times New Roman"/>
          <w:color w:val="000000" w:themeColor="text1"/>
          <w:szCs w:val="32"/>
          <w14:textFill>
            <w14:solidFill>
              <w14:schemeClr w14:val="tx1"/>
            </w14:solidFill>
          </w14:textFill>
        </w:rPr>
        <w:t>1</w:t>
      </w:r>
      <w:r>
        <w:rPr>
          <w:rFonts w:hint="eastAsia" w:cs="Times New Roman"/>
          <w:color w:val="000000" w:themeColor="text1"/>
          <w:szCs w:val="32"/>
          <w:lang w:val="en-US" w:eastAsia="zh-CN"/>
          <w14:textFill>
            <w14:solidFill>
              <w14:schemeClr w14:val="tx1"/>
            </w14:solidFill>
          </w14:textFill>
        </w:rPr>
        <w:t>5.97</w:t>
      </w:r>
      <w:r>
        <w:rPr>
          <w:rFonts w:hint="default" w:ascii="Times New Roman" w:hAnsi="Times New Roman" w:cs="Times New Roman"/>
          <w:color w:val="000000" w:themeColor="text1"/>
          <w:szCs w:val="32"/>
          <w14:textFill>
            <w14:solidFill>
              <w14:schemeClr w14:val="tx1"/>
            </w14:solidFill>
          </w14:textFill>
        </w:rPr>
        <w:t>%。其中：</w:t>
      </w:r>
    </w:p>
    <w:p w14:paraId="26C87485">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eastAsia" w:cs="Times New Roman"/>
          <w:color w:val="000000" w:themeColor="text1"/>
          <w:szCs w:val="32"/>
          <w:lang w:val="en-US" w:eastAsia="zh-CN"/>
          <w14:textFill>
            <w14:solidFill>
              <w14:schemeClr w14:val="tx1"/>
            </w14:solidFill>
          </w14:textFill>
        </w:rPr>
        <w:tab/>
      </w:r>
      <w:r>
        <w:rPr>
          <w:rFonts w:hint="default" w:ascii="Times New Roman" w:hAnsi="Times New Roman" w:cs="Times New Roman"/>
          <w:color w:val="000000" w:themeColor="text1"/>
          <w:szCs w:val="32"/>
          <w14:textFill>
            <w14:solidFill>
              <w14:schemeClr w14:val="tx1"/>
            </w14:solidFill>
          </w14:textFill>
        </w:rPr>
        <w:t>——发明专利授权量</w:t>
      </w:r>
      <w:r>
        <w:rPr>
          <w:rFonts w:hint="eastAsia" w:cs="Times New Roman"/>
          <w:color w:val="000000" w:themeColor="text1"/>
          <w:szCs w:val="32"/>
          <w:lang w:val="en-US" w:eastAsia="zh-CN"/>
          <w14:textFill>
            <w14:solidFill>
              <w14:schemeClr w14:val="tx1"/>
            </w14:solidFill>
          </w14:textFill>
        </w:rPr>
        <w:t>2308</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增长62.99</w:t>
      </w:r>
      <w:r>
        <w:rPr>
          <w:rFonts w:hint="default" w:ascii="Times New Roman" w:hAnsi="Times New Roman" w:cs="Times New Roman"/>
          <w:color w:val="000000" w:themeColor="text1"/>
          <w:szCs w:val="32"/>
          <w14:textFill>
            <w14:solidFill>
              <w14:schemeClr w14:val="tx1"/>
            </w14:solidFill>
          </w14:textFill>
        </w:rPr>
        <w:t>%，占专利授权总量的</w:t>
      </w:r>
      <w:r>
        <w:rPr>
          <w:rFonts w:hint="eastAsia" w:cs="Times New Roman"/>
          <w:color w:val="000000" w:themeColor="text1"/>
          <w:szCs w:val="32"/>
          <w:lang w:val="en-US" w:eastAsia="zh-CN"/>
          <w14:textFill>
            <w14:solidFill>
              <w14:schemeClr w14:val="tx1"/>
            </w14:solidFill>
          </w14:textFill>
        </w:rPr>
        <w:t>47.87</w:t>
      </w:r>
      <w:r>
        <w:rPr>
          <w:rFonts w:hint="default" w:ascii="Times New Roman" w:hAnsi="Times New Roman" w:cs="Times New Roman"/>
          <w:color w:val="000000" w:themeColor="text1"/>
          <w:szCs w:val="32"/>
          <w14:textFill>
            <w14:solidFill>
              <w14:schemeClr w14:val="tx1"/>
            </w14:solidFill>
          </w14:textFill>
        </w:rPr>
        <w:t>%，发明专利占比较去年同期增加</w:t>
      </w:r>
      <w:r>
        <w:rPr>
          <w:rFonts w:hint="eastAsia" w:cs="Times New Roman"/>
          <w:color w:val="000000" w:themeColor="text1"/>
          <w:szCs w:val="32"/>
          <w:lang w:val="en-US" w:eastAsia="zh-CN"/>
          <w14:textFill>
            <w14:solidFill>
              <w14:schemeClr w14:val="tx1"/>
            </w14:solidFill>
          </w14:textFill>
        </w:rPr>
        <w:t>13.81</w:t>
      </w:r>
      <w:r>
        <w:rPr>
          <w:rFonts w:hint="default" w:ascii="Times New Roman" w:hAnsi="Times New Roman" w:cs="Times New Roman"/>
          <w:color w:val="000000" w:themeColor="text1"/>
          <w:szCs w:val="32"/>
          <w14:textFill>
            <w14:solidFill>
              <w14:schemeClr w14:val="tx1"/>
            </w14:solidFill>
          </w14:textFill>
        </w:rPr>
        <w:t>个百分点。</w:t>
      </w:r>
    </w:p>
    <w:p w14:paraId="0170B9F5">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——实用新型专利授权量1</w:t>
      </w:r>
      <w:r>
        <w:rPr>
          <w:rFonts w:hint="eastAsia" w:cs="Times New Roman"/>
          <w:color w:val="000000" w:themeColor="text1"/>
          <w:szCs w:val="32"/>
          <w:lang w:val="en-US" w:eastAsia="zh-CN"/>
          <w14:textFill>
            <w14:solidFill>
              <w14:schemeClr w14:val="tx1"/>
            </w14:solidFill>
          </w14:textFill>
        </w:rPr>
        <w:t>444</w:t>
      </w:r>
      <w:r>
        <w:rPr>
          <w:rFonts w:hint="default" w:ascii="Times New Roman" w:hAnsi="Times New Roman" w:cs="Times New Roman"/>
          <w:color w:val="000000" w:themeColor="text1"/>
          <w:szCs w:val="32"/>
          <w14:textFill>
            <w14:solidFill>
              <w14:schemeClr w14:val="tx1"/>
            </w14:solidFill>
          </w14:textFill>
        </w:rPr>
        <w:t>件，同比下降</w:t>
      </w:r>
      <w:r>
        <w:rPr>
          <w:rFonts w:hint="eastAsia" w:cs="Times New Roman"/>
          <w:color w:val="000000" w:themeColor="text1"/>
          <w:szCs w:val="32"/>
          <w:lang w:val="en-US" w:eastAsia="zh-CN"/>
          <w14:textFill>
            <w14:solidFill>
              <w14:schemeClr w14:val="tx1"/>
            </w14:solidFill>
          </w14:textFill>
        </w:rPr>
        <w:t>23.31</w:t>
      </w:r>
      <w:r>
        <w:rPr>
          <w:rFonts w:hint="default" w:ascii="Times New Roman" w:hAnsi="Times New Roman" w:cs="Times New Roman"/>
          <w:color w:val="000000" w:themeColor="text1"/>
          <w:szCs w:val="32"/>
          <w14:textFill>
            <w14:solidFill>
              <w14:schemeClr w14:val="tx1"/>
            </w14:solidFill>
          </w14:textFill>
        </w:rPr>
        <w:t>%，占专利授权总量的</w:t>
      </w:r>
      <w:r>
        <w:rPr>
          <w:rFonts w:hint="eastAsia" w:cs="Times New Roman"/>
          <w:color w:val="000000" w:themeColor="text1"/>
          <w:szCs w:val="32"/>
          <w:lang w:val="en-US" w:eastAsia="zh-CN"/>
          <w14:textFill>
            <w14:solidFill>
              <w14:schemeClr w14:val="tx1"/>
            </w14:solidFill>
          </w14:textFill>
        </w:rPr>
        <w:t>29.95</w:t>
      </w:r>
      <w:r>
        <w:rPr>
          <w:rFonts w:hint="default" w:ascii="Times New Roman" w:hAnsi="Times New Roman" w:cs="Times New Roman"/>
          <w:color w:val="000000" w:themeColor="text1"/>
          <w:szCs w:val="32"/>
          <w14:textFill>
            <w14:solidFill>
              <w14:schemeClr w14:val="tx1"/>
            </w14:solidFill>
          </w14:textFill>
        </w:rPr>
        <w:t>%，实用新型专利占比较去年同期降低</w:t>
      </w:r>
      <w:r>
        <w:rPr>
          <w:rFonts w:hint="eastAsia" w:cs="Times New Roman"/>
          <w:color w:val="000000" w:themeColor="text1"/>
          <w:szCs w:val="32"/>
          <w:lang w:val="en-US" w:eastAsia="zh-CN"/>
          <w14:textFill>
            <w14:solidFill>
              <w14:schemeClr w14:val="tx1"/>
            </w14:solidFill>
          </w14:textFill>
        </w:rPr>
        <w:t>15.35</w:t>
      </w:r>
      <w:r>
        <w:rPr>
          <w:rFonts w:hint="default" w:ascii="Times New Roman" w:hAnsi="Times New Roman" w:cs="Times New Roman"/>
          <w:color w:val="000000" w:themeColor="text1"/>
          <w:szCs w:val="32"/>
          <w14:textFill>
            <w14:solidFill>
              <w14:schemeClr w14:val="tx1"/>
            </w14:solidFill>
          </w14:textFill>
        </w:rPr>
        <w:t>个百分点。</w:t>
      </w:r>
    </w:p>
    <w:p w14:paraId="2CF96F20">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——外观设计专利授权量10</w:t>
      </w:r>
      <w:r>
        <w:rPr>
          <w:rFonts w:hint="eastAsia" w:cs="Times New Roman"/>
          <w:color w:val="000000" w:themeColor="text1"/>
          <w:szCs w:val="32"/>
          <w:lang w:val="en-US" w:eastAsia="zh-CN"/>
          <w14:textFill>
            <w14:solidFill>
              <w14:schemeClr w14:val="tx1"/>
            </w14:solidFill>
          </w14:textFill>
        </w:rPr>
        <w:t>69</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增长24.59</w:t>
      </w:r>
      <w:r>
        <w:rPr>
          <w:rFonts w:hint="default" w:ascii="Times New Roman" w:hAnsi="Times New Roman" w:cs="Times New Roman"/>
          <w:color w:val="000000" w:themeColor="text1"/>
          <w:szCs w:val="32"/>
          <w14:textFill>
            <w14:solidFill>
              <w14:schemeClr w14:val="tx1"/>
            </w14:solidFill>
          </w14:textFill>
        </w:rPr>
        <w:t>%，占专利授权总量的</w:t>
      </w:r>
      <w:r>
        <w:rPr>
          <w:rFonts w:hint="eastAsia" w:cs="Times New Roman"/>
          <w:color w:val="000000" w:themeColor="text1"/>
          <w:szCs w:val="32"/>
          <w:lang w:val="en-US" w:eastAsia="zh-CN"/>
          <w14:textFill>
            <w14:solidFill>
              <w14:schemeClr w14:val="tx1"/>
            </w14:solidFill>
          </w14:textFill>
        </w:rPr>
        <w:t>22.17</w:t>
      </w:r>
      <w:r>
        <w:rPr>
          <w:rFonts w:hint="default" w:ascii="Times New Roman" w:hAnsi="Times New Roman" w:cs="Times New Roman"/>
          <w:color w:val="000000" w:themeColor="text1"/>
          <w:szCs w:val="32"/>
          <w14:textFill>
            <w14:solidFill>
              <w14:schemeClr w14:val="tx1"/>
            </w14:solidFill>
          </w14:textFill>
        </w:rPr>
        <w:t>%，外观设计专利占比较去年同期增加1.5</w:t>
      </w:r>
      <w:r>
        <w:rPr>
          <w:rFonts w:hint="eastAsia"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个百分点。</w:t>
      </w:r>
    </w:p>
    <w:p w14:paraId="4947994B">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综上所述</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全区202</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季度的专利授权量</w:t>
      </w:r>
      <w:r>
        <w:rPr>
          <w:rFonts w:hint="eastAsia" w:cs="Times New Roman"/>
          <w:color w:val="000000" w:themeColor="text1"/>
          <w:szCs w:val="32"/>
          <w:lang w:val="en-US" w:eastAsia="zh-CN"/>
          <w14:textFill>
            <w14:solidFill>
              <w14:schemeClr w14:val="tx1"/>
            </w14:solidFill>
          </w14:textFill>
        </w:rPr>
        <w:t>有所上升</w:t>
      </w:r>
      <w:r>
        <w:rPr>
          <w:rFonts w:hint="default" w:ascii="Times New Roman" w:hAnsi="Times New Roman" w:cs="Times New Roman"/>
          <w:color w:val="000000" w:themeColor="text1"/>
          <w:szCs w:val="32"/>
          <w14:textFill>
            <w14:solidFill>
              <w14:schemeClr w14:val="tx1"/>
            </w14:solidFill>
          </w14:textFill>
        </w:rPr>
        <w:t>，发明专利授权量占比相对增长，说明全区202</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季度的专利质量较去年同期有所提升。</w:t>
      </w:r>
    </w:p>
    <w:p w14:paraId="304C3F06">
      <w:pPr>
        <w:pStyle w:val="4"/>
        <w:ind w:firstLine="643"/>
        <w:rPr>
          <w:rFonts w:hint="default" w:ascii="Times New Roman" w:hAnsi="Times New Roman" w:cs="Times New Roman"/>
          <w:color w:val="000000" w:themeColor="text1"/>
          <w14:textFill>
            <w14:solidFill>
              <w14:schemeClr w14:val="tx1"/>
            </w14:solidFill>
          </w14:textFill>
        </w:rPr>
      </w:pPr>
      <w:bookmarkStart w:id="61" w:name="_Toc30361"/>
      <w:bookmarkStart w:id="62" w:name="_Toc9754"/>
      <w:bookmarkStart w:id="63" w:name="_Toc31817"/>
      <w:r>
        <w:rPr>
          <w:rFonts w:hint="default" w:ascii="Times New Roman" w:hAnsi="Times New Roman" w:cs="Times New Roman"/>
          <w:color w:val="000000" w:themeColor="text1"/>
          <w14:textFill>
            <w14:solidFill>
              <w14:schemeClr w14:val="tx1"/>
            </w14:solidFill>
          </w14:textFill>
        </w:rPr>
        <w:t>企业专利授权量</w:t>
      </w:r>
      <w:bookmarkEnd w:id="61"/>
      <w:bookmarkEnd w:id="62"/>
      <w:bookmarkEnd w:id="63"/>
    </w:p>
    <w:p w14:paraId="3A664228">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全区企业专利授权量</w:t>
      </w:r>
      <w:r>
        <w:rPr>
          <w:rFonts w:hint="eastAsia" w:cs="Times New Roman"/>
          <w:color w:val="000000" w:themeColor="text1"/>
          <w:szCs w:val="32"/>
          <w:lang w:val="en-US" w:eastAsia="zh-CN"/>
          <w14:textFill>
            <w14:solidFill>
              <w14:schemeClr w14:val="tx1"/>
            </w14:solidFill>
          </w14:textFill>
        </w:rPr>
        <w:t>4683</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增长15.97</w:t>
      </w:r>
      <w:r>
        <w:rPr>
          <w:rFonts w:hint="default" w:ascii="Times New Roman" w:hAnsi="Times New Roman" w:cs="Times New Roman"/>
          <w:color w:val="000000" w:themeColor="text1"/>
          <w:szCs w:val="32"/>
          <w14:textFill>
            <w14:solidFill>
              <w14:schemeClr w14:val="tx1"/>
            </w14:solidFill>
          </w14:textFill>
        </w:rPr>
        <w:t>%。其中：</w:t>
      </w:r>
    </w:p>
    <w:p w14:paraId="1FBF5B94">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——企业发明专利授权量</w:t>
      </w:r>
      <w:r>
        <w:rPr>
          <w:rFonts w:hint="eastAsia" w:cs="Times New Roman"/>
          <w:color w:val="000000" w:themeColor="text1"/>
          <w:szCs w:val="32"/>
          <w:lang w:val="en-US" w:eastAsia="zh-CN"/>
          <w14:textFill>
            <w14:solidFill>
              <w14:schemeClr w14:val="tx1"/>
            </w14:solidFill>
          </w14:textFill>
        </w:rPr>
        <w:t>2259</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增长64.89</w:t>
      </w:r>
      <w:r>
        <w:rPr>
          <w:rFonts w:hint="default" w:ascii="Times New Roman" w:hAnsi="Times New Roman" w:cs="Times New Roman"/>
          <w:color w:val="000000" w:themeColor="text1"/>
          <w:szCs w:val="32"/>
          <w14:textFill>
            <w14:solidFill>
              <w14:schemeClr w14:val="tx1"/>
            </w14:solidFill>
          </w14:textFill>
        </w:rPr>
        <w:t>%，占企业专利授权总量的</w:t>
      </w:r>
      <w:r>
        <w:rPr>
          <w:rFonts w:hint="eastAsia" w:cs="Times New Roman"/>
          <w:color w:val="000000" w:themeColor="text1"/>
          <w:szCs w:val="32"/>
          <w:lang w:val="en-US" w:eastAsia="zh-CN"/>
          <w14:textFill>
            <w14:solidFill>
              <w14:schemeClr w14:val="tx1"/>
            </w14:solidFill>
          </w14:textFill>
        </w:rPr>
        <w:t>48.24</w:t>
      </w:r>
      <w:r>
        <w:rPr>
          <w:rFonts w:hint="default" w:ascii="Times New Roman" w:hAnsi="Times New Roman" w:cs="Times New Roman"/>
          <w:color w:val="000000" w:themeColor="text1"/>
          <w:szCs w:val="32"/>
          <w14:textFill>
            <w14:solidFill>
              <w14:schemeClr w14:val="tx1"/>
            </w14:solidFill>
          </w14:textFill>
        </w:rPr>
        <w:t>%，企业发明专利占比较去年同期增加</w:t>
      </w:r>
      <w:r>
        <w:rPr>
          <w:rFonts w:hint="eastAsia" w:cs="Times New Roman"/>
          <w:color w:val="000000" w:themeColor="text1"/>
          <w:szCs w:val="32"/>
          <w:lang w:val="en-US" w:eastAsia="zh-CN"/>
          <w14:textFill>
            <w14:solidFill>
              <w14:schemeClr w14:val="tx1"/>
            </w14:solidFill>
          </w14:textFill>
        </w:rPr>
        <w:t>13.67</w:t>
      </w:r>
      <w:r>
        <w:rPr>
          <w:rFonts w:hint="default" w:ascii="Times New Roman" w:hAnsi="Times New Roman" w:cs="Times New Roman"/>
          <w:color w:val="000000" w:themeColor="text1"/>
          <w:szCs w:val="32"/>
          <w14:textFill>
            <w14:solidFill>
              <w14:schemeClr w14:val="tx1"/>
            </w14:solidFill>
          </w14:textFill>
        </w:rPr>
        <w:t>个百分点。</w:t>
      </w:r>
    </w:p>
    <w:p w14:paraId="2BCC2C0E">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——企业实用新型专利授权量</w:t>
      </w:r>
      <w:r>
        <w:rPr>
          <w:rFonts w:hint="eastAsia" w:cs="Times New Roman"/>
          <w:color w:val="000000" w:themeColor="text1"/>
          <w:szCs w:val="32"/>
          <w:lang w:val="en-US" w:eastAsia="zh-CN"/>
          <w14:textFill>
            <w14:solidFill>
              <w14:schemeClr w14:val="tx1"/>
            </w14:solidFill>
          </w14:textFill>
        </w:rPr>
        <w:t>1372</w:t>
      </w:r>
      <w:r>
        <w:rPr>
          <w:rFonts w:hint="default" w:ascii="Times New Roman" w:hAnsi="Times New Roman" w:cs="Times New Roman"/>
          <w:color w:val="000000" w:themeColor="text1"/>
          <w:szCs w:val="32"/>
          <w14:textFill>
            <w14:solidFill>
              <w14:schemeClr w14:val="tx1"/>
            </w14:solidFill>
          </w14:textFill>
        </w:rPr>
        <w:t>件，同比下降</w:t>
      </w:r>
      <w:r>
        <w:rPr>
          <w:rFonts w:hint="eastAsia" w:cs="Times New Roman"/>
          <w:color w:val="000000" w:themeColor="text1"/>
          <w:szCs w:val="32"/>
          <w:lang w:val="en-US" w:eastAsia="zh-CN"/>
          <w14:textFill>
            <w14:solidFill>
              <w14:schemeClr w14:val="tx1"/>
            </w14:solidFill>
          </w14:textFill>
        </w:rPr>
        <w:t>22.70</w:t>
      </w:r>
      <w:r>
        <w:rPr>
          <w:rFonts w:hint="default" w:ascii="Times New Roman" w:hAnsi="Times New Roman" w:cs="Times New Roman"/>
          <w:color w:val="000000" w:themeColor="text1"/>
          <w:szCs w:val="32"/>
          <w14:textFill>
            <w14:solidFill>
              <w14:schemeClr w14:val="tx1"/>
            </w14:solidFill>
          </w14:textFill>
        </w:rPr>
        <w:t>%，占企业专利授权总量的</w:t>
      </w:r>
      <w:r>
        <w:rPr>
          <w:rFonts w:hint="eastAsia" w:cs="Times New Roman"/>
          <w:color w:val="000000" w:themeColor="text1"/>
          <w:szCs w:val="32"/>
          <w:lang w:val="en-US" w:eastAsia="zh-CN"/>
          <w14:textFill>
            <w14:solidFill>
              <w14:schemeClr w14:val="tx1"/>
            </w14:solidFill>
          </w14:textFill>
        </w:rPr>
        <w:t>29.30</w:t>
      </w:r>
      <w:r>
        <w:rPr>
          <w:rFonts w:hint="default" w:ascii="Times New Roman" w:hAnsi="Times New Roman" w:cs="Times New Roman"/>
          <w:color w:val="000000" w:themeColor="text1"/>
          <w:szCs w:val="32"/>
          <w14:textFill>
            <w14:solidFill>
              <w14:schemeClr w14:val="tx1"/>
            </w14:solidFill>
          </w14:textFill>
        </w:rPr>
        <w:t>%，企业实用新型专利占比较去年同期降低</w:t>
      </w:r>
      <w:r>
        <w:rPr>
          <w:rFonts w:hint="eastAsia" w:cs="Times New Roman"/>
          <w:color w:val="000000" w:themeColor="text1"/>
          <w:szCs w:val="32"/>
          <w:lang w:val="en-US" w:eastAsia="zh-CN"/>
          <w14:textFill>
            <w14:solidFill>
              <w14:schemeClr w14:val="tx1"/>
            </w14:solidFill>
          </w14:textFill>
        </w:rPr>
        <w:t>15.49</w:t>
      </w:r>
      <w:r>
        <w:rPr>
          <w:rFonts w:hint="default" w:ascii="Times New Roman" w:hAnsi="Times New Roman" w:cs="Times New Roman"/>
          <w:color w:val="000000" w:themeColor="text1"/>
          <w:szCs w:val="32"/>
          <w14:textFill>
            <w14:solidFill>
              <w14:schemeClr w14:val="tx1"/>
            </w14:solidFill>
          </w14:textFill>
        </w:rPr>
        <w:t>个百分点。</w:t>
      </w:r>
    </w:p>
    <w:p w14:paraId="5E46A02D">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——企业外观设计专利授权量</w:t>
      </w:r>
      <w:r>
        <w:rPr>
          <w:rFonts w:hint="eastAsia" w:cs="Times New Roman"/>
          <w:color w:val="000000" w:themeColor="text1"/>
          <w:szCs w:val="32"/>
          <w:lang w:val="en-US" w:eastAsia="zh-CN"/>
          <w14:textFill>
            <w14:solidFill>
              <w14:schemeClr w14:val="tx1"/>
            </w14:solidFill>
          </w14:textFill>
        </w:rPr>
        <w:t>1052</w:t>
      </w:r>
      <w:r>
        <w:rPr>
          <w:rFonts w:hint="default" w:ascii="Times New Roman" w:hAnsi="Times New Roman" w:cs="Times New Roman"/>
          <w:color w:val="000000" w:themeColor="text1"/>
          <w:szCs w:val="32"/>
          <w14:textFill>
            <w14:solidFill>
              <w14:schemeClr w14:val="tx1"/>
            </w14:solidFill>
          </w14:textFill>
        </w:rPr>
        <w:t>件，同比</w:t>
      </w:r>
      <w:r>
        <w:rPr>
          <w:rFonts w:hint="eastAsia" w:cs="Times New Roman"/>
          <w:color w:val="000000" w:themeColor="text1"/>
          <w:szCs w:val="32"/>
          <w:lang w:val="en-US" w:eastAsia="zh-CN"/>
          <w14:textFill>
            <w14:solidFill>
              <w14:schemeClr w14:val="tx1"/>
            </w14:solidFill>
          </w14:textFill>
        </w:rPr>
        <w:t>增长28.61</w:t>
      </w:r>
      <w:r>
        <w:rPr>
          <w:rFonts w:hint="default" w:ascii="Times New Roman" w:hAnsi="Times New Roman" w:cs="Times New Roman"/>
          <w:color w:val="000000" w:themeColor="text1"/>
          <w:szCs w:val="32"/>
          <w14:textFill>
            <w14:solidFill>
              <w14:schemeClr w14:val="tx1"/>
            </w14:solidFill>
          </w14:textFill>
        </w:rPr>
        <w:t>%，占企业专利授权总量的</w:t>
      </w:r>
      <w:r>
        <w:rPr>
          <w:rFonts w:hint="eastAsia" w:cs="Times New Roman"/>
          <w:color w:val="000000" w:themeColor="text1"/>
          <w:szCs w:val="32"/>
          <w:lang w:val="en-US" w:eastAsia="zh-CN"/>
          <w14:textFill>
            <w14:solidFill>
              <w14:schemeClr w14:val="tx1"/>
            </w14:solidFill>
          </w14:textFill>
        </w:rPr>
        <w:t>22.46</w:t>
      </w:r>
      <w:r>
        <w:rPr>
          <w:rFonts w:hint="default" w:ascii="Times New Roman" w:hAnsi="Times New Roman" w:cs="Times New Roman"/>
          <w:color w:val="000000" w:themeColor="text1"/>
          <w:szCs w:val="32"/>
          <w14:textFill>
            <w14:solidFill>
              <w14:schemeClr w14:val="tx1"/>
            </w14:solidFill>
          </w14:textFill>
        </w:rPr>
        <w:t>%，企业外观设计专利占比较去年同期增加1.8</w:t>
      </w:r>
      <w:r>
        <w:rPr>
          <w:rFonts w:hint="eastAsia"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个百分点。</w:t>
      </w:r>
    </w:p>
    <w:p w14:paraId="15425D9F">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综上所述，202</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年第</w:t>
      </w:r>
      <w:r>
        <w:rPr>
          <w:rFonts w:hint="eastAsia" w:cs="Times New Roman"/>
          <w:color w:val="000000" w:themeColor="text1"/>
          <w:szCs w:val="32"/>
          <w:lang w:val="en-US" w:eastAsia="zh-CN"/>
          <w14:textFill>
            <w14:solidFill>
              <w14:schemeClr w14:val="tx1"/>
            </w14:solidFill>
          </w14:textFill>
        </w:rPr>
        <w:t>一季</w:t>
      </w:r>
      <w:r>
        <w:rPr>
          <w:rFonts w:hint="default" w:ascii="Times New Roman" w:hAnsi="Times New Roman" w:cs="Times New Roman"/>
          <w:color w:val="000000" w:themeColor="text1"/>
          <w:szCs w:val="32"/>
          <w14:textFill>
            <w14:solidFill>
              <w14:schemeClr w14:val="tx1"/>
            </w14:solidFill>
          </w14:textFill>
        </w:rPr>
        <w:t>度全区企业专利授权量与全区专利授权量趋势相同，</w:t>
      </w:r>
      <w:r>
        <w:rPr>
          <w:rFonts w:hint="eastAsia" w:cs="Times New Roman"/>
          <w:color w:val="000000" w:themeColor="text1"/>
          <w:szCs w:val="32"/>
          <w:lang w:val="en-US" w:eastAsia="zh-CN"/>
          <w14:textFill>
            <w14:solidFill>
              <w14:schemeClr w14:val="tx1"/>
            </w14:solidFill>
          </w14:textFill>
        </w:rPr>
        <w:t>均有所增长</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其中</w:t>
      </w:r>
      <w:r>
        <w:rPr>
          <w:rFonts w:hint="default" w:ascii="Times New Roman" w:hAnsi="Times New Roman" w:cs="Times New Roman"/>
          <w:color w:val="000000" w:themeColor="text1"/>
          <w:szCs w:val="32"/>
          <w14:textFill>
            <w14:solidFill>
              <w14:schemeClr w14:val="tx1"/>
            </w14:solidFill>
          </w14:textFill>
        </w:rPr>
        <w:t>企业发明专利授权量占比</w:t>
      </w:r>
      <w:r>
        <w:rPr>
          <w:rFonts w:hint="eastAsia" w:cs="Times New Roman"/>
          <w:color w:val="000000" w:themeColor="text1"/>
          <w:szCs w:val="32"/>
          <w:lang w:val="en-US" w:eastAsia="zh-CN"/>
          <w14:textFill>
            <w14:solidFill>
              <w14:schemeClr w14:val="tx1"/>
            </w14:solidFill>
          </w14:textFill>
        </w:rPr>
        <w:t>大幅</w:t>
      </w:r>
      <w:r>
        <w:rPr>
          <w:rFonts w:hint="default" w:ascii="Times New Roman" w:hAnsi="Times New Roman" w:cs="Times New Roman"/>
          <w:color w:val="000000" w:themeColor="text1"/>
          <w:szCs w:val="32"/>
          <w14:textFill>
            <w14:solidFill>
              <w14:schemeClr w14:val="tx1"/>
            </w14:solidFill>
          </w14:textFill>
        </w:rPr>
        <w:t>增长，说明全区企业在202</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季度的专利质量较去年同期有所提升。</w:t>
      </w:r>
    </w:p>
    <w:p w14:paraId="04C713C7">
      <w:pPr>
        <w:pStyle w:val="2"/>
        <w:ind w:firstLine="640"/>
        <w:rPr>
          <w:rFonts w:hint="default" w:ascii="Times New Roman" w:hAnsi="Times New Roman" w:cs="Times New Roman"/>
          <w:color w:val="auto"/>
        </w:rPr>
      </w:pPr>
      <w:bookmarkStart w:id="64" w:name="_Toc11634"/>
      <w:bookmarkStart w:id="65" w:name="_Toc7206"/>
      <w:bookmarkStart w:id="66" w:name="_Toc14142"/>
      <w:r>
        <w:rPr>
          <w:rFonts w:hint="default" w:ascii="Times New Roman" w:hAnsi="Times New Roman" w:cs="Times New Roman"/>
          <w:color w:val="auto"/>
        </w:rPr>
        <w:t>海外案例</w:t>
      </w:r>
      <w:r>
        <w:rPr>
          <w:rFonts w:hint="eastAsia" w:cs="Times New Roman"/>
          <w:color w:val="auto"/>
          <w:lang w:val="en-US" w:eastAsia="zh-CN"/>
        </w:rPr>
        <w:t>剖析</w:t>
      </w:r>
      <w:bookmarkEnd w:id="64"/>
      <w:bookmarkEnd w:id="65"/>
      <w:bookmarkEnd w:id="66"/>
    </w:p>
    <w:p w14:paraId="170C4B5B">
      <w:pPr>
        <w:pStyle w:val="3"/>
        <w:numPr>
          <w:ilvl w:val="0"/>
          <w:numId w:val="2"/>
        </w:numPr>
        <w:bidi w:val="0"/>
        <w:ind w:firstLine="640" w:firstLineChars="200"/>
        <w:jc w:val="both"/>
        <w:rPr>
          <w:rFonts w:hint="eastAsia"/>
          <w:b w:val="0"/>
          <w:bCs/>
          <w:lang w:val="en-US" w:eastAsia="zh-CN"/>
        </w:rPr>
      </w:pPr>
      <w:bookmarkStart w:id="67" w:name="_Toc32671"/>
      <w:bookmarkStart w:id="68" w:name="_Toc30336"/>
      <w:bookmarkStart w:id="69" w:name="_Toc32733"/>
      <w:r>
        <w:rPr>
          <w:rFonts w:hint="eastAsia"/>
          <w:b w:val="0"/>
          <w:bCs/>
          <w:lang w:val="en-US" w:eastAsia="zh-CN"/>
        </w:rPr>
        <w:t>通用汽车、大众集团等先后加入Avanci 5G许可平台</w:t>
      </w:r>
      <w:bookmarkEnd w:id="67"/>
      <w:bookmarkEnd w:id="68"/>
    </w:p>
    <w:p w14:paraId="04B90162">
      <w:pPr>
        <w:bidi w:val="0"/>
        <w:ind w:firstLineChars="200"/>
        <w:jc w:val="both"/>
        <w:rPr>
          <w:rFonts w:hint="eastAsia"/>
          <w:lang w:val="en-US" w:eastAsia="zh-CN"/>
        </w:rPr>
      </w:pPr>
      <w:r>
        <w:rPr>
          <w:rFonts w:hint="default" w:cs="Times New Roman"/>
          <w:b/>
          <w:bCs/>
          <w:color w:val="000000" w:themeColor="text1"/>
          <w:szCs w:val="32"/>
          <w14:textFill>
            <w14:solidFill>
              <w14:schemeClr w14:val="tx1"/>
            </w14:solidFill>
          </w14:textFill>
        </w:rPr>
        <w:t>【案例动态】</w:t>
      </w:r>
      <w:r>
        <w:rPr>
          <w:rFonts w:hint="eastAsia" w:cs="Times New Roman"/>
          <w:b/>
          <w:bCs/>
          <w:color w:val="000000" w:themeColor="text1"/>
          <w:szCs w:val="32"/>
          <w:lang w:val="en-US" w:eastAsia="zh-CN"/>
          <w14:textFill>
            <w14:solidFill>
              <w14:schemeClr w14:val="tx1"/>
            </w14:solidFill>
          </w14:textFill>
        </w:rPr>
        <w:t xml:space="preserve"> </w:t>
      </w:r>
      <w:r>
        <w:rPr>
          <w:rFonts w:hint="eastAsia"/>
          <w:lang w:val="en-US" w:eastAsia="zh-CN"/>
        </w:rPr>
        <w:t>2024年</w:t>
      </w:r>
      <w:r>
        <w:rPr>
          <w:rFonts w:hint="default"/>
          <w:b w:val="0"/>
          <w:bCs/>
          <w:lang w:val="en-US" w:eastAsia="zh-CN"/>
        </w:rPr>
        <w:t>2月3日，Avanci宣布与通用汽车（GM）签署5G网联汽车许可协议，将两家公司的合作拓展到下一代网联汽车。一周之后的2月20日，Avanci宣布，大众汽车集团（Volkswagen AG）旗下所有小汽车、大型客车和卡车品牌都将作为被许可方参与Avanci 5G车辆许可项目，这意味着奥迪、宾利、CUPRA、兰博基尼、曼恩、纳威司达、保时捷、斯堪尼亚、Scout Motor、西雅特、斯柯达及大众等品牌汽车以及大众卡车及巴士，都将获得Avanci 5G车辆项目中的60多个专利权人以及未来加入的权利人的全部2G、3G、4G和5G标准必要专利许可。</w:t>
      </w:r>
    </w:p>
    <w:p w14:paraId="06D787D0">
      <w:pPr>
        <w:bidi w:val="0"/>
        <w:ind w:firstLineChars="200"/>
        <w:jc w:val="both"/>
        <w:rPr>
          <w:rFonts w:hint="default"/>
          <w:lang w:val="en-US" w:eastAsia="zh-CN"/>
        </w:rPr>
      </w:pPr>
      <w:r>
        <w:rPr>
          <w:rFonts w:hint="default"/>
          <w:lang w:val="en-US" w:eastAsia="zh-CN"/>
        </w:rPr>
        <w:t>通用汽车、大众集团加入Avanci 5G车辆项目，标志着Avanci的5G“朋友圈”仍在不断拓展。</w:t>
      </w:r>
    </w:p>
    <w:p w14:paraId="18D7A0C7">
      <w:pPr>
        <w:bidi w:val="0"/>
        <w:ind w:firstLineChars="200"/>
        <w:jc w:val="both"/>
        <w:rPr>
          <w:rFonts w:hint="eastAsia" w:cstheme="minorBidi"/>
          <w:i w:val="0"/>
          <w:iCs w:val="0"/>
          <w:caps w:val="0"/>
          <w:spacing w:val="0"/>
          <w:sz w:val="32"/>
          <w:szCs w:val="22"/>
          <w:shd w:val="clear"/>
          <w:lang w:val="en-US" w:eastAsia="zh-CN"/>
        </w:rPr>
      </w:pPr>
      <w:r>
        <w:rPr>
          <w:rFonts w:hint="default" w:ascii="Times New Roman" w:hAnsi="Times New Roman" w:eastAsia="仿宋_GB2312" w:cs="Times New Roman"/>
          <w:b/>
          <w:bCs/>
          <w:color w:val="auto"/>
          <w:kern w:val="2"/>
          <w:szCs w:val="32"/>
          <w:lang w:val="en-US" w:eastAsia="zh-CN" w:bidi="ar-SA"/>
        </w:rPr>
        <w:t>【企业提示</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b/>
          <w:bCs/>
          <w:color w:val="FF0000"/>
          <w:kern w:val="2"/>
          <w:szCs w:val="32"/>
          <w:lang w:val="en-US" w:eastAsia="zh-CN" w:bidi="ar-SA"/>
        </w:rPr>
        <w:t xml:space="preserve"> </w:t>
      </w:r>
      <w:r>
        <w:rPr>
          <w:rFonts w:ascii="Times New Roman" w:hAnsi="Times New Roman" w:eastAsia="仿宋_GB2312" w:cstheme="minorBidi"/>
          <w:i w:val="0"/>
          <w:iCs w:val="0"/>
          <w:caps w:val="0"/>
          <w:spacing w:val="0"/>
          <w:sz w:val="32"/>
          <w:szCs w:val="22"/>
          <w:shd w:val="clear" w:fill="FFFFFF"/>
        </w:rPr>
        <w:t>汽车专利池Avanci</w:t>
      </w:r>
      <w:r>
        <w:rPr>
          <w:rFonts w:hint="eastAsia" w:cstheme="minorBidi"/>
          <w:i w:val="0"/>
          <w:iCs w:val="0"/>
          <w:caps w:val="0"/>
          <w:spacing w:val="0"/>
          <w:sz w:val="32"/>
          <w:szCs w:val="22"/>
          <w:shd w:val="clear"/>
          <w:lang w:val="en-US" w:eastAsia="zh-CN"/>
        </w:rPr>
        <w:t>已经将目光转向中国车企，</w:t>
      </w:r>
      <w:r>
        <w:rPr>
          <w:rFonts w:ascii="Times New Roman" w:hAnsi="Times New Roman" w:eastAsia="仿宋_GB2312" w:cstheme="minorBidi"/>
          <w:sz w:val="32"/>
          <w:szCs w:val="22"/>
        </w:rPr>
        <w:t>中国车企</w:t>
      </w:r>
      <w:r>
        <w:rPr>
          <w:rFonts w:hint="eastAsia" w:cstheme="minorBidi"/>
          <w:sz w:val="32"/>
          <w:szCs w:val="22"/>
          <w:lang w:val="en-US" w:eastAsia="zh-CN"/>
        </w:rPr>
        <w:t>将以</w:t>
      </w:r>
      <w:r>
        <w:rPr>
          <w:rFonts w:ascii="Times New Roman" w:hAnsi="Times New Roman" w:eastAsia="仿宋_GB2312" w:cstheme="minorBidi"/>
          <w:sz w:val="32"/>
          <w:szCs w:val="22"/>
        </w:rPr>
        <w:t>怎样的方式应对汽车专利费</w:t>
      </w:r>
      <w:r>
        <w:rPr>
          <w:rFonts w:hint="eastAsia" w:cstheme="minorBidi"/>
          <w:sz w:val="32"/>
          <w:szCs w:val="22"/>
          <w:lang w:eastAsia="zh-CN"/>
        </w:rPr>
        <w:t>，</w:t>
      </w:r>
      <w:r>
        <w:rPr>
          <w:rFonts w:hint="eastAsia" w:cstheme="minorBidi"/>
          <w:sz w:val="32"/>
          <w:szCs w:val="22"/>
          <w:lang w:val="en-US" w:eastAsia="zh-CN"/>
        </w:rPr>
        <w:t>成为当前各界关注的问题，尤其对于中国出口较大的车企</w:t>
      </w:r>
      <w:r>
        <w:rPr>
          <w:rFonts w:hint="eastAsia" w:ascii="Times New Roman" w:hAnsi="Times New Roman" w:eastAsia="仿宋_GB2312" w:cstheme="minorBidi"/>
          <w:sz w:val="32"/>
          <w:szCs w:val="22"/>
        </w:rPr>
        <w:t>比亚迪、奇瑞、上汽、吉利等</w:t>
      </w:r>
      <w:r>
        <w:rPr>
          <w:rFonts w:hint="eastAsia" w:cstheme="minorBidi"/>
          <w:sz w:val="32"/>
          <w:szCs w:val="22"/>
          <w:lang w:eastAsia="zh-CN"/>
        </w:rPr>
        <w:t>。</w:t>
      </w:r>
      <w:r>
        <w:rPr>
          <w:rFonts w:hint="eastAsia" w:cstheme="minorBidi"/>
          <w:sz w:val="32"/>
          <w:szCs w:val="22"/>
          <w:lang w:val="en-US" w:eastAsia="zh-CN"/>
        </w:rPr>
        <w:t>以</w:t>
      </w:r>
      <w:r>
        <w:rPr>
          <w:rFonts w:hint="eastAsia" w:ascii="Times New Roman" w:hAnsi="Times New Roman" w:eastAsia="仿宋_GB2312" w:cstheme="minorBidi"/>
          <w:i w:val="0"/>
          <w:iCs w:val="0"/>
          <w:caps w:val="0"/>
          <w:spacing w:val="0"/>
          <w:sz w:val="32"/>
          <w:szCs w:val="22"/>
          <w:shd w:val="clear"/>
        </w:rPr>
        <w:t>诉讼方式来表达对目前Avanci专利池规则的</w:t>
      </w:r>
      <w:r>
        <w:rPr>
          <w:rFonts w:hint="eastAsia" w:cstheme="minorBidi"/>
          <w:i w:val="0"/>
          <w:iCs w:val="0"/>
          <w:caps w:val="0"/>
          <w:spacing w:val="0"/>
          <w:sz w:val="32"/>
          <w:szCs w:val="22"/>
          <w:shd w:val="clear"/>
          <w:lang w:val="en-US" w:eastAsia="zh-CN"/>
        </w:rPr>
        <w:t>挑战</w:t>
      </w:r>
      <w:r>
        <w:rPr>
          <w:rFonts w:hint="eastAsia" w:ascii="Times New Roman" w:hAnsi="Times New Roman" w:eastAsia="仿宋_GB2312" w:cstheme="minorBidi"/>
          <w:i w:val="0"/>
          <w:iCs w:val="0"/>
          <w:caps w:val="0"/>
          <w:spacing w:val="0"/>
          <w:sz w:val="32"/>
          <w:szCs w:val="22"/>
          <w:shd w:val="clear"/>
        </w:rPr>
        <w:t>，</w:t>
      </w:r>
      <w:r>
        <w:rPr>
          <w:rFonts w:hint="eastAsia" w:cstheme="minorBidi"/>
          <w:i w:val="0"/>
          <w:iCs w:val="0"/>
          <w:caps w:val="0"/>
          <w:spacing w:val="0"/>
          <w:sz w:val="32"/>
          <w:szCs w:val="22"/>
          <w:shd w:val="clear"/>
          <w:lang w:eastAsia="zh-CN"/>
        </w:rPr>
        <w:t>是</w:t>
      </w:r>
      <w:r>
        <w:rPr>
          <w:rFonts w:hint="eastAsia" w:cstheme="minorBidi"/>
          <w:i w:val="0"/>
          <w:iCs w:val="0"/>
          <w:caps w:val="0"/>
          <w:spacing w:val="0"/>
          <w:sz w:val="32"/>
          <w:szCs w:val="22"/>
          <w:shd w:val="clear"/>
          <w:lang w:val="en-US" w:eastAsia="zh-CN"/>
        </w:rPr>
        <w:t>发达国家汽车企业曾采取过的行动。</w:t>
      </w:r>
    </w:p>
    <w:p w14:paraId="10BB82F7">
      <w:pPr>
        <w:bidi w:val="0"/>
        <w:ind w:firstLineChars="200"/>
        <w:jc w:val="both"/>
        <w:rPr>
          <w:rFonts w:hint="eastAsia" w:cstheme="minorBidi"/>
          <w:i w:val="0"/>
          <w:iCs w:val="0"/>
          <w:caps w:val="0"/>
          <w:spacing w:val="0"/>
          <w:sz w:val="32"/>
          <w:szCs w:val="22"/>
          <w:shd w:val="clear"/>
          <w:lang w:val="en-US" w:eastAsia="zh-CN"/>
        </w:rPr>
      </w:pPr>
      <w:r>
        <w:rPr>
          <w:rFonts w:hint="eastAsia" w:cstheme="minorBidi"/>
          <w:i w:val="0"/>
          <w:iCs w:val="0"/>
          <w:caps w:val="0"/>
          <w:spacing w:val="0"/>
          <w:sz w:val="32"/>
          <w:szCs w:val="22"/>
          <w:shd w:val="clear"/>
          <w:lang w:val="en-US" w:eastAsia="zh-CN"/>
        </w:rPr>
        <w:t>中国车企</w:t>
      </w:r>
      <w:r>
        <w:rPr>
          <w:rFonts w:hint="eastAsia" w:ascii="Times New Roman" w:hAnsi="Times New Roman" w:eastAsia="仿宋_GB2312" w:cstheme="minorBidi"/>
          <w:i w:val="0"/>
          <w:iCs w:val="0"/>
          <w:caps w:val="0"/>
          <w:spacing w:val="0"/>
          <w:sz w:val="32"/>
          <w:szCs w:val="22"/>
          <w:shd w:val="clear"/>
        </w:rPr>
        <w:t>拥有了汽车制造能力，拥有了新能源技术，拥有了通信标准的专利实力</w:t>
      </w:r>
      <w:r>
        <w:rPr>
          <w:rFonts w:hint="eastAsia" w:cstheme="minorBidi"/>
          <w:i w:val="0"/>
          <w:iCs w:val="0"/>
          <w:caps w:val="0"/>
          <w:spacing w:val="0"/>
          <w:sz w:val="32"/>
          <w:szCs w:val="22"/>
          <w:shd w:val="clear"/>
          <w:lang w:eastAsia="zh-CN"/>
        </w:rPr>
        <w:t>，</w:t>
      </w:r>
      <w:r>
        <w:rPr>
          <w:rFonts w:hint="eastAsia" w:cstheme="minorBidi"/>
          <w:sz w:val="32"/>
          <w:szCs w:val="22"/>
          <w:lang w:val="en-US" w:eastAsia="zh-CN"/>
        </w:rPr>
        <w:t>是否可能在</w:t>
      </w:r>
      <w:r>
        <w:rPr>
          <w:rFonts w:hint="eastAsia" w:ascii="Times New Roman" w:hAnsi="Times New Roman" w:eastAsia="仿宋_GB2312" w:cstheme="minorBidi"/>
          <w:i w:val="0"/>
          <w:iCs w:val="0"/>
          <w:caps w:val="0"/>
          <w:spacing w:val="0"/>
          <w:sz w:val="32"/>
          <w:szCs w:val="22"/>
          <w:shd w:val="clear" w:fill="FFFFFF"/>
        </w:rPr>
        <w:t>司法或行政上对汽车行业许可规则的挤压和塑造，</w:t>
      </w:r>
      <w:r>
        <w:rPr>
          <w:rFonts w:hint="eastAsia" w:cstheme="minorBidi"/>
          <w:i w:val="0"/>
          <w:iCs w:val="0"/>
          <w:caps w:val="0"/>
          <w:spacing w:val="0"/>
          <w:sz w:val="32"/>
          <w:szCs w:val="22"/>
          <w:shd w:val="clear"/>
          <w:lang w:eastAsia="zh-CN"/>
        </w:rPr>
        <w:t>以</w:t>
      </w:r>
      <w:r>
        <w:rPr>
          <w:rFonts w:hint="eastAsia" w:cstheme="minorBidi"/>
          <w:i w:val="0"/>
          <w:iCs w:val="0"/>
          <w:caps w:val="0"/>
          <w:spacing w:val="0"/>
          <w:sz w:val="32"/>
          <w:szCs w:val="22"/>
          <w:shd w:val="clear"/>
          <w:lang w:val="en-US" w:eastAsia="zh-CN"/>
        </w:rPr>
        <w:t>积极的态势迎接行业规则制定，是中国车企和通信企业需要面对的挑战。</w:t>
      </w:r>
    </w:p>
    <w:p w14:paraId="2B27F77F">
      <w:pPr>
        <w:tabs>
          <w:tab w:val="right" w:pos="8306"/>
        </w:tabs>
        <w:bidi w:val="0"/>
        <w:ind w:firstLine="0" w:firstLineChars="0"/>
        <w:contextualSpacing/>
        <w:jc w:val="right"/>
        <w:rPr>
          <w:rFonts w:hint="default" w:eastAsia="方正仿宋_GB2312" w:cs="Times New Roman"/>
          <w:i w:val="0"/>
          <w:iCs w:val="0"/>
          <w:caps w:val="0"/>
          <w:color w:val="000000" w:themeColor="text1"/>
          <w:spacing w:val="5"/>
          <w:kern w:val="0"/>
          <w:sz w:val="21"/>
          <w:szCs w:val="21"/>
          <w:shd w:val="clear" w:color="auto" w:fill="FFFFFF"/>
          <w:lang w:val="en-US" w:eastAsia="zh-CN" w:bidi="ar"/>
          <w14:textFill>
            <w14:solidFill>
              <w14:schemeClr w14:val="tx1"/>
            </w14:solidFill>
          </w14:textFill>
        </w:rPr>
      </w:pPr>
      <w:r>
        <w:rPr>
          <w:rFonts w:hint="default" w:eastAsia="方正仿宋_GB2312" w:cs="Times New Roman"/>
          <w:i w:val="0"/>
          <w:iCs w:val="0"/>
          <w:caps w:val="0"/>
          <w:color w:val="000000" w:themeColor="text1"/>
          <w:spacing w:val="5"/>
          <w:kern w:val="0"/>
          <w:sz w:val="21"/>
          <w:szCs w:val="21"/>
          <w:shd w:val="clear" w:color="auto" w:fill="FFFFFF"/>
          <w:lang w:val="en-US" w:eastAsia="zh-CN" w:bidi="ar"/>
          <w14:textFill>
            <w14:solidFill>
              <w14:schemeClr w14:val="tx1"/>
            </w14:solidFill>
          </w14:textFill>
        </w:rPr>
        <w: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eastAsia="方正仿宋_GB2312" w:cs="Times New Roman"/>
          <w:i w:val="0"/>
          <w:iCs w:val="0"/>
          <w:caps w:val="0"/>
          <w:color w:val="000000" w:themeColor="text1"/>
          <w:spacing w:val="5"/>
          <w:kern w:val="0"/>
          <w:sz w:val="21"/>
          <w:szCs w:val="21"/>
          <w:shd w:val="clear" w:color="auto" w:fill="FFFFFF"/>
          <w:lang w:val="en-US" w:eastAsia="zh-CN" w:bidi="ar"/>
          <w14:textFill>
            <w14:solidFill>
              <w14:schemeClr w14:val="tx1"/>
            </w14:solidFill>
          </w14:textFill>
        </w:rPr>
        <w:t>https://mp.weixin.qq.com/s?__biz=MzA3NDQ1NDEwOQ==&amp;mid=2651451600&amp;idx</w:t>
      </w:r>
    </w:p>
    <w:p w14:paraId="4A832069">
      <w:pPr>
        <w:tabs>
          <w:tab w:val="right" w:pos="8306"/>
        </w:tabs>
        <w:bidi w:val="0"/>
        <w:ind w:firstLine="0" w:firstLineChars="0"/>
        <w:contextualSpacing/>
        <w:jc w:val="left"/>
        <w:rPr>
          <w:rFonts w:hint="eastAsia"/>
          <w:b/>
          <w:bCs w:val="0"/>
          <w:lang w:val="en-US" w:eastAsia="zh-CN"/>
        </w:rPr>
      </w:pPr>
      <w:r>
        <w:rPr>
          <w:rFonts w:hint="default" w:eastAsia="方正仿宋_GB2312" w:cs="Times New Roman"/>
          <w:i w:val="0"/>
          <w:iCs w:val="0"/>
          <w:caps w:val="0"/>
          <w:color w:val="000000" w:themeColor="text1"/>
          <w:spacing w:val="5"/>
          <w:kern w:val="0"/>
          <w:sz w:val="21"/>
          <w:szCs w:val="21"/>
          <w:shd w:val="clear" w:color="auto" w:fill="FFFFFF"/>
          <w:lang w:val="en-US" w:eastAsia="zh-CN" w:bidi="ar"/>
          <w14:textFill>
            <w14:solidFill>
              <w14:schemeClr w14:val="tx1"/>
            </w14:solidFill>
          </w14:textFill>
        </w:rPr>
        <w:t>=1&amp;sn=079981fbf2698c6f63afaeffe4fc2b18&amp;chksm=8482d5e2b3f55cf423cf598747746813945143aa42eeaf759a288f644f4e60bf1fe940b9162a&amp;scene=27）</w:t>
      </w:r>
    </w:p>
    <w:p w14:paraId="1F00CBCB">
      <w:pPr>
        <w:pStyle w:val="3"/>
        <w:numPr>
          <w:ilvl w:val="1"/>
          <w:numId w:val="0"/>
        </w:numPr>
        <w:bidi w:val="0"/>
        <w:ind w:firstLine="640" w:firstLineChars="200"/>
        <w:jc w:val="both"/>
        <w:rPr>
          <w:rFonts w:hint="default"/>
          <w:b w:val="0"/>
          <w:lang w:val="en-US" w:eastAsia="zh-CN"/>
        </w:rPr>
      </w:pPr>
      <w:bookmarkStart w:id="70" w:name="_Toc23510"/>
      <w:bookmarkStart w:id="71" w:name="_Toc10072"/>
      <w:r>
        <w:rPr>
          <w:rFonts w:hint="eastAsia"/>
          <w:b w:val="0"/>
          <w:bCs/>
          <w:lang w:val="en-US" w:eastAsia="zh-CN"/>
        </w:rPr>
        <w:t>（二）</w:t>
      </w:r>
      <w:r>
        <w:rPr>
          <w:rFonts w:hint="default"/>
          <w:b w:val="0"/>
          <w:lang w:val="en-US" w:eastAsia="zh-CN"/>
        </w:rPr>
        <w:t>美国ITC发布金属钱夹及其组件337</w:t>
      </w:r>
      <w:r>
        <w:rPr>
          <w:rFonts w:hint="eastAsia"/>
          <w:b w:val="0"/>
          <w:bCs/>
          <w:lang w:val="en-US" w:eastAsia="zh-CN"/>
        </w:rPr>
        <w:t>调查</w:t>
      </w:r>
      <w:r>
        <w:rPr>
          <w:rFonts w:hint="default"/>
          <w:b w:val="0"/>
          <w:lang w:val="en-US" w:eastAsia="zh-CN"/>
        </w:rPr>
        <w:t>部分终裁</w:t>
      </w:r>
      <w:bookmarkEnd w:id="69"/>
      <w:r>
        <w:rPr>
          <w:rFonts w:hint="eastAsia"/>
          <w:b w:val="0"/>
          <w:lang w:val="en-US" w:eastAsia="zh-CN"/>
        </w:rPr>
        <w:t>涉</w:t>
      </w:r>
      <w:r>
        <w:rPr>
          <w:rFonts w:hint="eastAsia"/>
          <w:b w:val="0"/>
          <w:bCs/>
          <w:lang w:val="en-US" w:eastAsia="zh-CN"/>
        </w:rPr>
        <w:t>杭州企业</w:t>
      </w:r>
      <w:r>
        <w:rPr>
          <w:rFonts w:hint="default"/>
          <w:b w:val="0"/>
        </w:rPr>
        <w:t>INSGG of Hangzhou City</w:t>
      </w:r>
      <w:bookmarkEnd w:id="70"/>
      <w:bookmarkEnd w:id="71"/>
    </w:p>
    <w:p w14:paraId="7D3629BF">
      <w:pPr>
        <w:rPr>
          <w:rFonts w:hint="eastAsia"/>
        </w:rPr>
      </w:pP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b/>
          <w:bCs/>
          <w:color w:val="000000" w:themeColor="text1"/>
          <w:szCs w:val="32"/>
          <w14:textFill>
            <w14:solidFill>
              <w14:schemeClr w14:val="tx1"/>
            </w14:solidFill>
          </w14:textFill>
        </w:rPr>
        <w:t>案例动态</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 xml:space="preserve"> </w:t>
      </w:r>
      <w:r>
        <w:rPr>
          <w:rFonts w:hint="eastAsia"/>
          <w:lang w:val="en-US" w:eastAsia="zh-CN"/>
        </w:rPr>
        <w:t>2024年</w:t>
      </w:r>
      <w:r>
        <w:rPr>
          <w:rFonts w:hint="default"/>
        </w:rPr>
        <w:t>3</w:t>
      </w:r>
      <w:r>
        <w:rPr>
          <w:rFonts w:hint="eastAsia"/>
        </w:rPr>
        <w:t>月</w:t>
      </w:r>
      <w:r>
        <w:rPr>
          <w:rFonts w:hint="default"/>
        </w:rPr>
        <w:t>18</w:t>
      </w:r>
      <w:r>
        <w:rPr>
          <w:rFonts w:hint="eastAsia"/>
        </w:rPr>
        <w:t>日，美国国际贸易委员会（</w:t>
      </w:r>
      <w:r>
        <w:rPr>
          <w:rFonts w:hint="default"/>
        </w:rPr>
        <w:t>ITC</w:t>
      </w:r>
      <w:r>
        <w:rPr>
          <w:rFonts w:hint="eastAsia"/>
        </w:rPr>
        <w:t>）发布公告称，对特定金属钱夹及其组件（</w:t>
      </w:r>
      <w:r>
        <w:rPr>
          <w:rFonts w:hint="default"/>
        </w:rPr>
        <w:t>Certain Compact Wallets and Components Thereof</w:t>
      </w:r>
      <w:r>
        <w:rPr>
          <w:rFonts w:hint="eastAsia"/>
        </w:rPr>
        <w:t>，调查编码：</w:t>
      </w:r>
      <w:r>
        <w:rPr>
          <w:rFonts w:hint="default"/>
        </w:rPr>
        <w:t>337-TA-1355</w:t>
      </w:r>
      <w:r>
        <w:rPr>
          <w:rFonts w:hint="eastAsia"/>
        </w:rPr>
        <w:t>）作出</w:t>
      </w:r>
      <w:r>
        <w:rPr>
          <w:rFonts w:hint="default"/>
        </w:rPr>
        <w:t>337</w:t>
      </w:r>
      <w:r>
        <w:rPr>
          <w:rFonts w:hint="eastAsia"/>
        </w:rPr>
        <w:t>部分终裁：对列名被告中国浙江</w:t>
      </w:r>
      <w:r>
        <w:rPr>
          <w:rFonts w:hint="default"/>
        </w:rPr>
        <w:t>INSGG of Hangzhou City, Zhejiang Province, China</w:t>
      </w:r>
      <w:r>
        <w:rPr>
          <w:rFonts w:hint="eastAsia"/>
          <w:lang w:val="en-US" w:eastAsia="zh-CN"/>
        </w:rPr>
        <w:t>在内的多家企业</w:t>
      </w:r>
      <w:r>
        <w:rPr>
          <w:rFonts w:hint="eastAsia"/>
        </w:rPr>
        <w:t>发布禁止令。</w:t>
      </w:r>
    </w:p>
    <w:p w14:paraId="3DA9026E">
      <w:pPr>
        <w:bidi w:val="0"/>
        <w:rPr>
          <w:rFonts w:hint="eastAsia"/>
          <w:lang w:eastAsia="zh-CN"/>
        </w:rPr>
      </w:pPr>
      <w:r>
        <w:rPr>
          <w:rFonts w:hint="default" w:ascii="Times New Roman" w:hAnsi="Times New Roman" w:cs="Times New Roman"/>
          <w:b/>
          <w:bCs/>
          <w:color w:val="000000" w:themeColor="text1"/>
          <w:szCs w:val="32"/>
          <w14:textFill>
            <w14:solidFill>
              <w14:schemeClr w14:val="tx1"/>
            </w14:solidFill>
          </w14:textFill>
        </w:rPr>
        <w:t>【案例追踪</w:t>
      </w:r>
      <w:r>
        <w:rPr>
          <w:rFonts w:hint="default" w:ascii="Times New Roman" w:hAnsi="Times New Roman" w:cs="Times New Roman"/>
          <w:b/>
          <w:bCs/>
          <w:color w:val="000000" w:themeColor="text1"/>
          <w:szCs w:val="32"/>
          <w:lang w:eastAsia="zh-CN"/>
          <w14:textFill>
            <w14:solidFill>
              <w14:schemeClr w14:val="tx1"/>
            </w14:solidFill>
          </w14:textFill>
        </w:rPr>
        <w:t>】</w:t>
      </w:r>
      <w:r>
        <w:rPr>
          <w:rFonts w:hint="eastAsia" w:cs="Times New Roman"/>
          <w:b/>
          <w:bCs/>
          <w:color w:val="000000" w:themeColor="text1"/>
          <w:szCs w:val="32"/>
          <w:lang w:val="en-US" w:eastAsia="zh-CN"/>
          <w14:textFill>
            <w14:solidFill>
              <w14:schemeClr w14:val="tx1"/>
            </w14:solidFill>
          </w14:textFill>
        </w:rPr>
        <w:t xml:space="preserve"> </w:t>
      </w:r>
      <w:r>
        <w:rPr>
          <w:rFonts w:hint="eastAsia"/>
        </w:rPr>
        <w:t>2023年</w:t>
      </w:r>
      <w:r>
        <w:t>2</w:t>
      </w:r>
      <w:r>
        <w:rPr>
          <w:rFonts w:hint="eastAsia"/>
        </w:rPr>
        <w:t>月</w:t>
      </w:r>
      <w:r>
        <w:rPr>
          <w:rFonts w:hint="default"/>
        </w:rPr>
        <w:t>6</w:t>
      </w:r>
      <w:r>
        <w:rPr>
          <w:rFonts w:hint="eastAsia"/>
        </w:rPr>
        <w:t>日，美国</w:t>
      </w:r>
      <w:r>
        <w:rPr>
          <w:rFonts w:hint="default"/>
        </w:rPr>
        <w:t>The Ridge Wallet LLC of Santa Monica, California</w:t>
      </w:r>
      <w:r>
        <w:rPr>
          <w:rFonts w:hint="eastAsia"/>
        </w:rPr>
        <w:t>向美国</w:t>
      </w:r>
      <w:r>
        <w:rPr>
          <w:rFonts w:hint="default"/>
        </w:rPr>
        <w:t>ITC</w:t>
      </w:r>
      <w:r>
        <w:rPr>
          <w:rFonts w:hint="eastAsia"/>
        </w:rPr>
        <w:t>提出</w:t>
      </w:r>
      <w:r>
        <w:rPr>
          <w:rFonts w:hint="default"/>
        </w:rPr>
        <w:t>337</w:t>
      </w:r>
      <w:r>
        <w:rPr>
          <w:rFonts w:hint="eastAsia"/>
        </w:rPr>
        <w:t>立案调查申请，主张对美出口、在美进口和在美销售的该产品侵犯了其知识产权（美国注册专利号</w:t>
      </w:r>
      <w:r>
        <w:rPr>
          <w:rFonts w:hint="default"/>
        </w:rPr>
        <w:t>10791808</w:t>
      </w:r>
      <w:r>
        <w:rPr>
          <w:rFonts w:hint="eastAsia"/>
        </w:rPr>
        <w:t>），请求美国</w:t>
      </w:r>
      <w:r>
        <w:rPr>
          <w:rFonts w:hint="default"/>
        </w:rPr>
        <w:t>ITC</w:t>
      </w:r>
      <w:r>
        <w:rPr>
          <w:rFonts w:hint="eastAsia"/>
        </w:rPr>
        <w:t>发布普遍排除令、有限排除令、禁止令。中国浙江</w:t>
      </w:r>
      <w:r>
        <w:t>INSGG of Hangzhou City, Zhejiang Province, China</w:t>
      </w:r>
      <w:r>
        <w:rPr>
          <w:rFonts w:hint="eastAsia"/>
        </w:rPr>
        <w:t>、中国广东</w:t>
      </w:r>
      <w:r>
        <w:rPr>
          <w:rFonts w:hint="default"/>
        </w:rPr>
        <w:t>Shenzhen Swztech Co., Ltd d/b/a SWZA of Shenzhen, GuangDong, China</w:t>
      </w:r>
      <w:r>
        <w:rPr>
          <w:rFonts w:hint="eastAsia"/>
        </w:rPr>
        <w:t>、中国广东</w:t>
      </w:r>
      <w:r>
        <w:rPr>
          <w:rFonts w:hint="default"/>
        </w:rPr>
        <w:t>ARW of Shenzhen, Guangdong, China</w:t>
      </w:r>
      <w:r>
        <w:rPr>
          <w:rFonts w:hint="eastAsia"/>
          <w:lang w:val="en-US" w:eastAsia="zh-CN"/>
        </w:rPr>
        <w:t>等共计5家企业</w:t>
      </w:r>
      <w:r>
        <w:rPr>
          <w:rFonts w:hint="eastAsia"/>
        </w:rPr>
        <w:t>为列名被告</w:t>
      </w:r>
      <w:r>
        <w:rPr>
          <w:rFonts w:hint="eastAsia"/>
          <w:lang w:eastAsia="zh-CN"/>
        </w:rPr>
        <w:t>。</w:t>
      </w:r>
    </w:p>
    <w:p w14:paraId="548A96C3">
      <w:pPr>
        <w:bidi w:val="0"/>
        <w:rPr>
          <w:rFonts w:hint="eastAsia"/>
          <w:lang w:eastAsia="zh-CN"/>
        </w:rPr>
      </w:pPr>
      <w:r>
        <w:t>202</w:t>
      </w:r>
      <w:r>
        <w:rPr>
          <w:rFonts w:hint="default"/>
        </w:rPr>
        <w:t>3</w:t>
      </w:r>
      <w:r>
        <w:rPr>
          <w:rFonts w:hint="eastAsia"/>
        </w:rPr>
        <w:t>年</w:t>
      </w:r>
      <w:r>
        <w:rPr>
          <w:rFonts w:hint="default"/>
        </w:rPr>
        <w:t>11</w:t>
      </w:r>
      <w:r>
        <w:rPr>
          <w:rFonts w:hint="eastAsia"/>
        </w:rPr>
        <w:t>月</w:t>
      </w:r>
      <w:r>
        <w:rPr>
          <w:rFonts w:hint="default"/>
        </w:rPr>
        <w:t>7</w:t>
      </w:r>
      <w:r>
        <w:rPr>
          <w:rFonts w:hint="eastAsia"/>
        </w:rPr>
        <w:t>日，美国国际贸易委员会（</w:t>
      </w:r>
      <w:r>
        <w:rPr>
          <w:rFonts w:hint="default"/>
        </w:rPr>
        <w:t>ITC</w:t>
      </w:r>
      <w:r>
        <w:rPr>
          <w:rFonts w:hint="eastAsia"/>
        </w:rPr>
        <w:t>）发布终裁：对本案行政法官于</w:t>
      </w:r>
      <w:r>
        <w:rPr>
          <w:rFonts w:hint="default"/>
        </w:rPr>
        <w:t>2023</w:t>
      </w:r>
      <w:r>
        <w:rPr>
          <w:rFonts w:hint="eastAsia"/>
        </w:rPr>
        <w:t>年</w:t>
      </w:r>
      <w:r>
        <w:rPr>
          <w:rFonts w:hint="default"/>
        </w:rPr>
        <w:t>10</w:t>
      </w:r>
      <w:r>
        <w:rPr>
          <w:rFonts w:hint="eastAsia"/>
        </w:rPr>
        <w:t>月</w:t>
      </w:r>
      <w:r>
        <w:rPr>
          <w:rFonts w:hint="default"/>
        </w:rPr>
        <w:t>6</w:t>
      </w:r>
      <w:r>
        <w:rPr>
          <w:rFonts w:hint="eastAsia"/>
        </w:rPr>
        <w:t>日作出的初裁（</w:t>
      </w:r>
      <w:r>
        <w:rPr>
          <w:rFonts w:hint="default"/>
        </w:rPr>
        <w:t>No.18</w:t>
      </w:r>
      <w:r>
        <w:rPr>
          <w:rFonts w:hint="eastAsia"/>
        </w:rPr>
        <w:t>）不予复审，即基于申请方撤回，终止对缺席被告侵权商业外观的调查，部分终止对列名被告中国广东</w:t>
      </w:r>
      <w:r>
        <w:rPr>
          <w:rFonts w:hint="default"/>
        </w:rPr>
        <w:t>Shenzhen Swztech Co., Ltd d/b/a SWZA of Shenzhen, GuangDong, China</w:t>
      </w:r>
      <w:r>
        <w:rPr>
          <w:rFonts w:hint="eastAsia"/>
        </w:rPr>
        <w:t>、中国广东</w:t>
      </w:r>
      <w:r>
        <w:rPr>
          <w:rFonts w:hint="default"/>
        </w:rPr>
        <w:t>ARW of Shenzhen, Guangdong, China</w:t>
      </w:r>
      <w:r>
        <w:rPr>
          <w:rFonts w:hint="eastAsia"/>
        </w:rPr>
        <w:t>侵权美国注册专利号</w:t>
      </w:r>
      <w:r>
        <w:rPr>
          <w:rFonts w:hint="default"/>
        </w:rPr>
        <w:t>10,791,808</w:t>
      </w:r>
      <w:r>
        <w:rPr>
          <w:rFonts w:hint="eastAsia"/>
        </w:rPr>
        <w:t>第</w:t>
      </w:r>
      <w:r>
        <w:rPr>
          <w:rFonts w:hint="default"/>
        </w:rPr>
        <w:t>3</w:t>
      </w:r>
      <w:r>
        <w:rPr>
          <w:rFonts w:hint="eastAsia"/>
        </w:rPr>
        <w:t>、</w:t>
      </w:r>
      <w:r>
        <w:rPr>
          <w:rFonts w:hint="default"/>
        </w:rPr>
        <w:t>4</w:t>
      </w:r>
      <w:r>
        <w:rPr>
          <w:rFonts w:hint="eastAsia"/>
        </w:rPr>
        <w:t>、</w:t>
      </w:r>
      <w:r>
        <w:rPr>
          <w:rFonts w:hint="default"/>
        </w:rPr>
        <w:t>9</w:t>
      </w:r>
      <w:r>
        <w:rPr>
          <w:rFonts w:hint="eastAsia"/>
        </w:rPr>
        <w:t>、</w:t>
      </w:r>
      <w:r>
        <w:rPr>
          <w:rFonts w:hint="default"/>
        </w:rPr>
        <w:t>12</w:t>
      </w:r>
      <w:r>
        <w:rPr>
          <w:rFonts w:hint="eastAsia"/>
        </w:rPr>
        <w:t>、</w:t>
      </w:r>
      <w:r>
        <w:rPr>
          <w:rFonts w:hint="default"/>
        </w:rPr>
        <w:t>13</w:t>
      </w:r>
      <w:r>
        <w:rPr>
          <w:rFonts w:hint="eastAsia"/>
        </w:rPr>
        <w:t>、</w:t>
      </w:r>
      <w:r>
        <w:rPr>
          <w:rFonts w:hint="default"/>
        </w:rPr>
        <w:t>15</w:t>
      </w:r>
      <w:r>
        <w:rPr>
          <w:rFonts w:hint="eastAsia"/>
        </w:rPr>
        <w:t>、</w:t>
      </w:r>
      <w:r>
        <w:rPr>
          <w:rFonts w:hint="default"/>
        </w:rPr>
        <w:t>16</w:t>
      </w:r>
      <w:r>
        <w:rPr>
          <w:rFonts w:hint="eastAsia"/>
        </w:rPr>
        <w:t>、</w:t>
      </w:r>
      <w:r>
        <w:rPr>
          <w:rFonts w:hint="default"/>
        </w:rPr>
        <w:t>17</w:t>
      </w:r>
      <w:r>
        <w:rPr>
          <w:rFonts w:hint="eastAsia"/>
        </w:rPr>
        <w:t>项申诉的调查。</w:t>
      </w:r>
      <w:r>
        <w:t>202</w:t>
      </w:r>
      <w:r>
        <w:rPr>
          <w:rFonts w:hint="default"/>
        </w:rPr>
        <w:t>4</w:t>
      </w:r>
      <w:r>
        <w:rPr>
          <w:rFonts w:hint="eastAsia"/>
        </w:rPr>
        <w:t>年</w:t>
      </w:r>
      <w:r>
        <w:rPr>
          <w:rFonts w:hint="default"/>
        </w:rPr>
        <w:t>3</w:t>
      </w:r>
      <w:r>
        <w:rPr>
          <w:rFonts w:hint="eastAsia"/>
        </w:rPr>
        <w:t>月</w:t>
      </w:r>
      <w:r>
        <w:rPr>
          <w:rFonts w:hint="default"/>
        </w:rPr>
        <w:t>18</w:t>
      </w:r>
      <w:r>
        <w:rPr>
          <w:rFonts w:hint="eastAsia"/>
        </w:rPr>
        <w:t>日，美国国际贸易委员会（</w:t>
      </w:r>
      <w:r>
        <w:rPr>
          <w:rFonts w:hint="default"/>
        </w:rPr>
        <w:t>ITC</w:t>
      </w:r>
      <w:r>
        <w:rPr>
          <w:rFonts w:hint="eastAsia"/>
        </w:rPr>
        <w:t>）发布公告称，对特定金属钱夹及其组件（</w:t>
      </w:r>
      <w:r>
        <w:rPr>
          <w:rFonts w:hint="default"/>
        </w:rPr>
        <w:t>Certain Compact Wallets and Components Thereof</w:t>
      </w:r>
      <w:r>
        <w:rPr>
          <w:rFonts w:hint="eastAsia"/>
        </w:rPr>
        <w:t>，调查编码：</w:t>
      </w:r>
      <w:r>
        <w:rPr>
          <w:rFonts w:hint="default"/>
        </w:rPr>
        <w:t>337-TA-1355</w:t>
      </w:r>
      <w:r>
        <w:rPr>
          <w:rFonts w:hint="eastAsia"/>
        </w:rPr>
        <w:t>）作出</w:t>
      </w:r>
      <w:r>
        <w:rPr>
          <w:rFonts w:hint="default"/>
        </w:rPr>
        <w:t>337</w:t>
      </w:r>
      <w:r>
        <w:rPr>
          <w:rFonts w:hint="eastAsia"/>
        </w:rPr>
        <w:t>部分终裁：如果本案存在侵权，建议采取的救济措施为对侵权产品发布普遍排除令，对列名被告美国</w:t>
      </w:r>
      <w:r>
        <w:rPr>
          <w:rFonts w:hint="default"/>
        </w:rPr>
        <w:t>Rosemar Enterprise LLC d/b/a RossM Wallet of Palm Springs, CA</w:t>
      </w:r>
      <w:r>
        <w:rPr>
          <w:rFonts w:hint="eastAsia"/>
        </w:rPr>
        <w:t>、中国浙江</w:t>
      </w:r>
      <w:r>
        <w:rPr>
          <w:rFonts w:hint="default"/>
        </w:rPr>
        <w:t>INSGG of Hangzhou City, Zhejiang Province, China</w:t>
      </w:r>
      <w:r>
        <w:rPr>
          <w:rFonts w:hint="eastAsia"/>
        </w:rPr>
        <w:t>、中国广东</w:t>
      </w:r>
      <w:r>
        <w:rPr>
          <w:rFonts w:hint="default"/>
        </w:rPr>
        <w:t>Shenzhen Swztech Co., Ltd d/b/a SWZA of Shenzhen, GuangDong, China</w:t>
      </w:r>
      <w:r>
        <w:rPr>
          <w:rFonts w:hint="eastAsia"/>
        </w:rPr>
        <w:t>、中国广东</w:t>
      </w:r>
      <w:r>
        <w:rPr>
          <w:rFonts w:hint="default"/>
        </w:rPr>
        <w:t>Shenzhen Pincan Technology Co., Ltd. d/b/a ARW-Wallet of Shenzhen, Guangdong, China</w:t>
      </w:r>
      <w:r>
        <w:rPr>
          <w:rFonts w:hint="eastAsia"/>
        </w:rPr>
        <w:t>发布禁止令；并就上述救济措施向公众和利益相关方征求意见。</w:t>
      </w:r>
    </w:p>
    <w:p w14:paraId="5D453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rPr>
          <w:rFonts w:hint="default" w:ascii="Times New Roman" w:hAnsi="Times New Roman" w:eastAsia="仿宋_GB2312" w:cstheme="minorBidi"/>
          <w:i w:val="0"/>
          <w:iCs w:val="0"/>
          <w:caps w:val="0"/>
          <w:color w:val="auto"/>
          <w:spacing w:val="0"/>
          <w:sz w:val="32"/>
          <w:szCs w:val="22"/>
        </w:rPr>
      </w:pPr>
      <w:r>
        <w:rPr>
          <w:rFonts w:hint="default" w:ascii="Times New Roman" w:hAnsi="Times New Roman" w:eastAsia="仿宋_GB2312" w:cs="Times New Roman"/>
          <w:b/>
          <w:bCs/>
          <w:color w:val="auto"/>
          <w:kern w:val="2"/>
          <w:szCs w:val="32"/>
          <w:lang w:val="en-US" w:eastAsia="zh-CN" w:bidi="ar-SA"/>
        </w:rPr>
        <w:t>【企业提示】</w:t>
      </w:r>
      <w:r>
        <w:rPr>
          <w:rFonts w:hint="eastAsia" w:cs="Times New Roman"/>
          <w:b/>
          <w:bCs/>
          <w:color w:val="auto"/>
          <w:kern w:val="2"/>
          <w:szCs w:val="32"/>
          <w:lang w:val="en-US" w:eastAsia="zh-CN" w:bidi="ar-SA"/>
        </w:rPr>
        <w:t xml:space="preserve"> </w:t>
      </w:r>
      <w:r>
        <w:rPr>
          <w:rFonts w:hint="eastAsia" w:cs="Times New Roman"/>
          <w:b w:val="0"/>
          <w:bCs w:val="0"/>
          <w:color w:val="auto"/>
          <w:kern w:val="2"/>
          <w:szCs w:val="32"/>
          <w:lang w:val="en-US" w:eastAsia="zh-CN" w:bidi="ar-SA"/>
        </w:rPr>
        <w:t>本案例是</w:t>
      </w:r>
      <w:r>
        <w:rPr>
          <w:rFonts w:hint="default" w:ascii="Times New Roman" w:hAnsi="Times New Roman" w:eastAsia="仿宋_GB2312" w:cstheme="minorBidi"/>
          <w:i w:val="0"/>
          <w:iCs w:val="0"/>
          <w:caps w:val="0"/>
          <w:color w:val="auto"/>
          <w:spacing w:val="0"/>
          <w:sz w:val="32"/>
          <w:szCs w:val="22"/>
        </w:rPr>
        <w:t>中国公司不在</w:t>
      </w:r>
      <w:r>
        <w:rPr>
          <w:rFonts w:ascii="Times New Roman" w:hAnsi="Times New Roman" w:eastAsia="仿宋_GB2312" w:cstheme="minorBidi"/>
          <w:i w:val="0"/>
          <w:iCs w:val="0"/>
          <w:caps w:val="0"/>
          <w:color w:val="auto"/>
          <w:spacing w:val="0"/>
          <w:sz w:val="32"/>
          <w:szCs w:val="22"/>
        </w:rPr>
        <w:t>ITC</w:t>
      </w:r>
      <w:r>
        <w:rPr>
          <w:rFonts w:hint="default" w:ascii="Times New Roman" w:hAnsi="Times New Roman" w:eastAsia="仿宋_GB2312" w:cstheme="minorBidi"/>
          <w:i w:val="0"/>
          <w:iCs w:val="0"/>
          <w:caps w:val="0"/>
          <w:color w:val="auto"/>
          <w:spacing w:val="0"/>
          <w:sz w:val="32"/>
          <w:szCs w:val="22"/>
        </w:rPr>
        <w:t>所限定的时间段内对申诉状做出答复导致ITC对相关的中国公司做出“缺席判决”</w:t>
      </w:r>
      <w:r>
        <w:rPr>
          <w:rFonts w:hint="eastAsia" w:cstheme="minorBidi"/>
          <w:i w:val="0"/>
          <w:iCs w:val="0"/>
          <w:caps w:val="0"/>
          <w:color w:val="auto"/>
          <w:spacing w:val="0"/>
          <w:sz w:val="32"/>
          <w:szCs w:val="22"/>
          <w:lang w:eastAsia="zh-CN"/>
        </w:rPr>
        <w:t>，</w:t>
      </w:r>
      <w:r>
        <w:rPr>
          <w:rFonts w:hint="default" w:ascii="Times New Roman" w:hAnsi="Times New Roman" w:eastAsia="仿宋_GB2312" w:cstheme="minorBidi"/>
          <w:i w:val="0"/>
          <w:iCs w:val="0"/>
          <w:caps w:val="0"/>
          <w:color w:val="auto"/>
          <w:spacing w:val="0"/>
          <w:sz w:val="32"/>
          <w:szCs w:val="22"/>
        </w:rPr>
        <w:t>ITC发布“普遍排除令”不仅禁止违规方进口侵权货品，还禁止世界上任何其他公司试图将侵权货品进口到美国，即使这些公司并没有在ITC调查中被提及。鉴于美国专利的有效期可长达20年，这样的排除令有长期持久的影响，而且可能在很大程度上改变缺席应诉方公司及其行业伙伴的业务预期。值得重视的是，ITC排除令不但覆盖所有现存的侵权产品，而且还包括未在申诉状中列出的产品。排除令的广泛覆盖范围给受排除令限制的公司的业务带来极大的不确定性。</w:t>
      </w:r>
    </w:p>
    <w:p w14:paraId="14C4A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rPr>
          <w:rFonts w:hint="default" w:ascii="Times New Roman" w:hAnsi="Times New Roman" w:eastAsia="仿宋_GB2312" w:cstheme="minorBidi"/>
          <w:i w:val="0"/>
          <w:iCs w:val="0"/>
          <w:caps w:val="0"/>
          <w:color w:val="auto"/>
          <w:spacing w:val="0"/>
          <w:sz w:val="32"/>
          <w:szCs w:val="22"/>
        </w:rPr>
      </w:pPr>
      <w:r>
        <w:rPr>
          <w:rFonts w:hint="eastAsia" w:cstheme="minorBidi"/>
          <w:i w:val="0"/>
          <w:iCs w:val="0"/>
          <w:caps w:val="0"/>
          <w:color w:val="auto"/>
          <w:spacing w:val="0"/>
          <w:sz w:val="32"/>
          <w:szCs w:val="22"/>
          <w:lang w:val="en-US" w:eastAsia="zh-CN"/>
        </w:rPr>
        <w:t>有数据显示，近年</w:t>
      </w:r>
      <w:r>
        <w:rPr>
          <w:rFonts w:hint="default" w:ascii="Times New Roman" w:hAnsi="Times New Roman" w:eastAsia="仿宋_GB2312" w:cstheme="minorBidi"/>
          <w:i w:val="0"/>
          <w:iCs w:val="0"/>
          <w:caps w:val="0"/>
          <w:color w:val="auto"/>
          <w:spacing w:val="0"/>
          <w:sz w:val="32"/>
          <w:szCs w:val="22"/>
        </w:rPr>
        <w:t>在大约60%的非缺席的中国应诉方中，超过35%的中国公司通过了协商达成和解，而有略超过10%的中国公司协商得到“同意令”，同意停止进口被指控商品以避免它们的顾客受到任何影响。在选择出席审讯为自身辩护的中国应诉方中，只有5%被判违规而遭受排除令。</w:t>
      </w:r>
    </w:p>
    <w:p w14:paraId="64295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rPr>
          <w:rFonts w:hint="default" w:ascii="Times New Roman" w:hAnsi="Times New Roman" w:eastAsia="仿宋_GB2312" w:cstheme="minorBidi"/>
          <w:i w:val="0"/>
          <w:iCs w:val="0"/>
          <w:caps w:val="0"/>
          <w:color w:val="auto"/>
          <w:spacing w:val="0"/>
          <w:sz w:val="32"/>
          <w:szCs w:val="22"/>
        </w:rPr>
      </w:pPr>
      <w:r>
        <w:rPr>
          <w:rFonts w:hint="default" w:ascii="Times New Roman" w:hAnsi="Times New Roman" w:eastAsia="仿宋_GB2312" w:cstheme="minorBidi"/>
          <w:i w:val="0"/>
          <w:iCs w:val="0"/>
          <w:caps w:val="0"/>
          <w:color w:val="auto"/>
          <w:spacing w:val="0"/>
          <w:sz w:val="32"/>
          <w:szCs w:val="22"/>
        </w:rPr>
        <w:t>简而言之，出庭ITC对抗申诉对应诉方有相当的好处。相比之下，缺席应诉方须承受排除令给产品进口到美国所带来的重大障碍。如果美国市场对于收到ITC申诉的中国公司很重要，那么该公司应与有经验的美国律师协商考虑除缺席之外的选择。虽然在ITC的诉讼可能较为昂贵，但有一些方法可以让应诉人经济有效地对申诉状做出驳斥或者通过谈判得到有利的和解。</w:t>
      </w:r>
    </w:p>
    <w:p w14:paraId="286F52AA">
      <w:pPr>
        <w:keepNext w:val="0"/>
        <w:keepLines w:val="0"/>
        <w:pageBreakBefore w:val="0"/>
        <w:widowControl w:val="0"/>
        <w:tabs>
          <w:tab w:val="right" w:pos="8306"/>
        </w:tabs>
        <w:kinsoku/>
        <w:wordWrap w:val="0"/>
        <w:overflowPunct/>
        <w:topLinePunct w:val="0"/>
        <w:autoSpaceDE/>
        <w:autoSpaceDN/>
        <w:bidi w:val="0"/>
        <w:adjustRightInd/>
        <w:snapToGrid/>
        <w:ind w:left="0" w:leftChars="0" w:firstLine="0" w:firstLineChars="0"/>
        <w:contextualSpacing/>
        <w:jc w:val="right"/>
        <w:textAlignment w:val="auto"/>
        <w:rPr>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fldChar w:fldCharType="begin"/>
      </w:r>
      <w:r>
        <w:rPr>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instrText xml:space="preserve"> HYPERLINK "https://cacs.mofcom.gov.cn/cacscms/article/ssqdc?articleId=179920&amp;type=2" </w:instrText>
      </w:r>
      <w:r>
        <w:rPr>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fldChar w:fldCharType="separate"/>
      </w:r>
      <w:r>
        <w:rPr>
          <w:rStyle w:val="26"/>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t>https://cacs.mofcom.gov.cn/cacscms/article/ssqdc?articleId=179920&amp;type=2</w:t>
      </w:r>
      <w:r>
        <w:rPr>
          <w:rFonts w:hint="default" w:ascii="Times New Roman" w:hAnsi="Times New Roman" w:eastAsia="方正仿宋_GB2312" w:cs="Times New Roman"/>
          <w:color w:val="000000" w:themeColor="text1"/>
          <w:spacing w:val="5"/>
          <w:kern w:val="0"/>
          <w:sz w:val="21"/>
          <w:szCs w:val="21"/>
          <w:u w:val="none"/>
          <w:shd w:val="clear" w:color="auto" w:fill="FFFFFF"/>
          <w:lang w:bidi="ar"/>
          <w14:textFill>
            <w14:solidFill>
              <w14:schemeClr w14:val="tx1"/>
            </w14:solidFill>
          </w14:textFill>
        </w:rPr>
        <w:fldChar w:fldCharType="end"/>
      </w:r>
    </w:p>
    <w:p w14:paraId="70172148">
      <w:pPr>
        <w:keepNext w:val="0"/>
        <w:keepLines w:val="0"/>
        <w:pageBreakBefore w:val="0"/>
        <w:widowControl w:val="0"/>
        <w:tabs>
          <w:tab w:val="right" w:pos="8306"/>
        </w:tabs>
        <w:kinsoku/>
        <w:wordWrap w:val="0"/>
        <w:overflowPunct/>
        <w:topLinePunct w:val="0"/>
        <w:autoSpaceDE/>
        <w:autoSpaceDN/>
        <w:bidi w:val="0"/>
        <w:adjustRightInd/>
        <w:snapToGrid/>
        <w:ind w:left="0" w:leftChars="0" w:firstLine="0" w:firstLineChars="0"/>
        <w:contextualSpacing/>
        <w:jc w:val="both"/>
        <w:textAlignment w:val="auto"/>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http://www.cacs.mofcom.gov.cn/article/flfwpt/jyjdy/cgal/202005/163952.html）</w:t>
      </w:r>
    </w:p>
    <w:p w14:paraId="50290CA6">
      <w:pPr>
        <w:pStyle w:val="3"/>
        <w:numPr>
          <w:ilvl w:val="1"/>
          <w:numId w:val="0"/>
        </w:numPr>
        <w:bidi w:val="0"/>
        <w:ind w:firstLine="640" w:firstLineChars="200"/>
        <w:rPr>
          <w:rStyle w:val="34"/>
          <w:rFonts w:hint="eastAsia"/>
          <w:b w:val="0"/>
          <w:bCs/>
        </w:rPr>
      </w:pPr>
      <w:bookmarkStart w:id="72" w:name="_Toc6755"/>
      <w:bookmarkStart w:id="73" w:name="_Toc15866"/>
      <w:bookmarkStart w:id="74" w:name="_Toc12587"/>
      <w:r>
        <w:rPr>
          <w:rFonts w:hint="eastAsia"/>
          <w:b w:val="0"/>
          <w:lang w:eastAsia="zh-CN"/>
        </w:rPr>
        <w:t>（</w:t>
      </w:r>
      <w:r>
        <w:rPr>
          <w:rFonts w:hint="eastAsia"/>
          <w:b w:val="0"/>
          <w:bCs/>
          <w:lang w:val="en-US" w:eastAsia="zh-CN"/>
        </w:rPr>
        <w:t>三</w:t>
      </w:r>
      <w:r>
        <w:rPr>
          <w:rFonts w:hint="eastAsia"/>
          <w:b w:val="0"/>
          <w:lang w:eastAsia="zh-CN"/>
        </w:rPr>
        <w:t>）</w:t>
      </w:r>
      <w:bookmarkEnd w:id="72"/>
      <w:bookmarkEnd w:id="73"/>
      <w:r>
        <w:rPr>
          <w:rStyle w:val="34"/>
          <w:rFonts w:hint="eastAsia"/>
          <w:b w:val="0"/>
          <w:bCs/>
        </w:rPr>
        <w:t>海能达遭美国全球禁令，提示中国企业出海需高度重视知识产权合规</w:t>
      </w:r>
      <w:bookmarkEnd w:id="74"/>
    </w:p>
    <w:p w14:paraId="7D40A239">
      <w:pPr>
        <w:bidi w:val="0"/>
        <w:rPr>
          <w:rFonts w:hint="eastAsia"/>
        </w:rPr>
      </w:pP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b/>
          <w:bCs/>
          <w:color w:val="000000" w:themeColor="text1"/>
          <w:szCs w:val="32"/>
          <w14:textFill>
            <w14:solidFill>
              <w14:schemeClr w14:val="tx1"/>
            </w14:solidFill>
          </w14:textFill>
        </w:rPr>
        <w:t>案例动态</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 xml:space="preserve"> </w:t>
      </w:r>
      <w:r>
        <w:t>海能达</w:t>
      </w:r>
      <w:r>
        <w:rPr>
          <w:rFonts w:hint="eastAsia"/>
          <w:lang w:eastAsia="zh-CN"/>
        </w:rPr>
        <w:t>（</w:t>
      </w:r>
      <w:r>
        <w:t>Hytera</w:t>
      </w:r>
      <w:r>
        <w:rPr>
          <w:rFonts w:hint="eastAsia"/>
          <w:lang w:eastAsia="zh-CN"/>
        </w:rPr>
        <w:t>）</w:t>
      </w:r>
      <w:r>
        <w:rPr>
          <w:rFonts w:hint="eastAsia"/>
        </w:rPr>
        <w:t>在</w:t>
      </w:r>
      <w:r>
        <w:rPr>
          <w:rFonts w:hint="eastAsia"/>
          <w:lang w:val="en-US" w:eastAsia="zh-CN"/>
        </w:rPr>
        <w:t>2024年</w:t>
      </w:r>
      <w:r>
        <w:rPr>
          <w:rFonts w:hint="default"/>
        </w:rPr>
        <w:t>4</w:t>
      </w:r>
      <w:r>
        <w:rPr>
          <w:rFonts w:hint="eastAsia"/>
        </w:rPr>
        <w:t>月</w:t>
      </w:r>
      <w:r>
        <w:rPr>
          <w:rFonts w:hint="default"/>
        </w:rPr>
        <w:t>2</w:t>
      </w:r>
      <w:r>
        <w:rPr>
          <w:rFonts w:hint="eastAsia"/>
        </w:rPr>
        <w:t>号被美国伊利诺伊州北区联邦地方法院的</w:t>
      </w:r>
      <w:r>
        <w:rPr>
          <w:rFonts w:hint="default"/>
        </w:rPr>
        <w:t>Pacold</w:t>
      </w:r>
      <w:r>
        <w:rPr>
          <w:rFonts w:hint="eastAsia"/>
        </w:rPr>
        <w:t>法官颁布了一个全球范围内禁售任何双向对讲机产品的命令，要求海能达在官网公示这个禁令，同时在海能达遵守法院之前颁布的禁诉令之前每天罚款</w:t>
      </w:r>
      <w:r>
        <w:rPr>
          <w:rFonts w:hint="default"/>
        </w:rPr>
        <w:t>1</w:t>
      </w:r>
      <w:r>
        <w:rPr>
          <w:rFonts w:hint="eastAsia"/>
        </w:rPr>
        <w:t>百万美金，禁诉令要求海能达撤回</w:t>
      </w:r>
      <w:r>
        <w:rPr>
          <w:rFonts w:hint="default"/>
        </w:rPr>
        <w:t>2022</w:t>
      </w:r>
      <w:r>
        <w:rPr>
          <w:rFonts w:hint="eastAsia"/>
        </w:rPr>
        <w:t>年</w:t>
      </w:r>
      <w:r>
        <w:rPr>
          <w:rFonts w:hint="default"/>
        </w:rPr>
        <w:t>6</w:t>
      </w:r>
      <w:r>
        <w:rPr>
          <w:rFonts w:hint="eastAsia"/>
        </w:rPr>
        <w:t>月在深圳中院起诉摩托罗拉的案子，另外还禁止海能达执行或推动深圳中院颁布的任何针对摩托罗拉的判决。</w:t>
      </w:r>
    </w:p>
    <w:p w14:paraId="22A5EB8B">
      <w:pPr>
        <w:bidi w:val="0"/>
        <w:rPr>
          <w:rFonts w:hint="default"/>
          <w:lang w:val="en-US" w:eastAsia="zh-CN"/>
        </w:rPr>
      </w:pP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b/>
          <w:bCs/>
          <w:color w:val="000000" w:themeColor="text1"/>
          <w:szCs w:val="32"/>
          <w14:textFill>
            <w14:solidFill>
              <w14:schemeClr w14:val="tx1"/>
            </w14:solidFill>
          </w14:textFill>
        </w:rPr>
        <w:t>案例</w:t>
      </w:r>
      <w:r>
        <w:rPr>
          <w:rFonts w:hint="eastAsia" w:cs="Times New Roman"/>
          <w:b/>
          <w:bCs/>
          <w:color w:val="000000" w:themeColor="text1"/>
          <w:szCs w:val="32"/>
          <w:lang w:val="en-US" w:eastAsia="zh-CN"/>
          <w14:textFill>
            <w14:solidFill>
              <w14:schemeClr w14:val="tx1"/>
            </w14:solidFill>
          </w14:textFill>
        </w:rPr>
        <w:t>追踪</w:t>
      </w: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 xml:space="preserve"> </w:t>
      </w:r>
      <w:r>
        <w:t>海能达成立于1993年，总部位于深圳，是一家专用通信及解决方案提供商。该公司从最初的模拟对讲机做起，如今产品线覆盖执法记录仪、指挥与调度平台、卫星以及各种复杂的场景和解决方案，成为全球少数能提供全系列产品线及整体解决方案的国际公司，在专网通信领域被业界称为</w:t>
      </w:r>
      <w:r>
        <w:rPr>
          <w:rFonts w:hint="eastAsia"/>
          <w:lang w:eastAsia="zh-CN"/>
        </w:rPr>
        <w:t>“</w:t>
      </w:r>
      <w:r>
        <w:t>小华为</w:t>
      </w:r>
      <w:r>
        <w:rPr>
          <w:rFonts w:hint="eastAsia"/>
          <w:lang w:eastAsia="zh-CN"/>
        </w:rPr>
        <w:t>”</w:t>
      </w:r>
      <w:r>
        <w:t>。</w:t>
      </w:r>
      <w:r>
        <w:rPr>
          <w:rFonts w:hint="default"/>
          <w:lang w:val="en-US" w:eastAsia="zh-CN"/>
        </w:rPr>
        <w:t>此次事件源于海能达与摩托罗拉公司的知识产权侵权纠纷，双方已</w:t>
      </w:r>
      <w:r>
        <w:rPr>
          <w:rFonts w:hint="eastAsia"/>
          <w:lang w:val="en-US" w:eastAsia="zh-CN"/>
        </w:rPr>
        <w:t>“</w:t>
      </w:r>
      <w:r>
        <w:rPr>
          <w:rFonts w:hint="default"/>
          <w:lang w:val="en-US" w:eastAsia="zh-CN"/>
        </w:rPr>
        <w:t>缠斗</w:t>
      </w:r>
      <w:r>
        <w:rPr>
          <w:rFonts w:hint="eastAsia"/>
          <w:lang w:val="en-US" w:eastAsia="zh-CN"/>
        </w:rPr>
        <w:t>”</w:t>
      </w:r>
      <w:r>
        <w:rPr>
          <w:rFonts w:hint="default"/>
          <w:lang w:val="en-US" w:eastAsia="zh-CN"/>
        </w:rPr>
        <w:t>七年。早在2017年3月，摩托罗拉及摩托罗拉马来西亚公司在美国伊利诺伊州法院起诉海能达及两家子公司商业秘密侵权，之后又提出增加版权侵权的诉讼请求。2020年3月，伊利诺伊州法院判决海能达和两子公司向摩托罗拉支付损害赔偿3.46亿美元及惩罚性赔偿4.19亿美元，合计7.65亿美元（人民币约53.34亿元）。海能达对此并不认可，并向法院提出申请案件重审及法院依法改判的动议。2021年1月，伊利诺伊州法院法官认可部分意见，整体赔偿金额由7.65亿美元调减至5.43亿美元。对此，海能达选择继续向美国第七巡回上诉法院提出上诉。2022年6月，其向深圳市中级人民法院诉请</w:t>
      </w:r>
      <w:r>
        <w:rPr>
          <w:rFonts w:hint="eastAsia"/>
          <w:lang w:val="en-US" w:eastAsia="zh-CN"/>
        </w:rPr>
        <w:t>，</w:t>
      </w:r>
      <w:r>
        <w:rPr>
          <w:rFonts w:hint="default"/>
          <w:lang w:val="en-US" w:eastAsia="zh-CN"/>
        </w:rPr>
        <w:t>公司全新设计开发的H系列产品不侵犯摩托罗拉的商业秘密和版权。然而，案件进入庭审环节后，摩托罗拉向美国伊利诺伊州联邦地区法院提交了禁诉令动议，要求公司撤回深圳案件的起诉，美国法院于2024年3月25日批准了该动议。所谓禁诉令，即指禁止当事人在其他法院诉讼的命令。最新公告显示，美国法院判令认定海能达未能完全遵守其禁诉令，临时禁止公司在全球范围内销售双向无线电技术的产品，并处以每天100万美元罚款，直至公司完全遵守禁诉令。</w:t>
      </w:r>
    </w:p>
    <w:p w14:paraId="2D88505A">
      <w:pPr>
        <w:bidi w:val="0"/>
        <w:rPr>
          <w:rFonts w:hint="eastAsia" w:cs="Times New Roman"/>
          <w:b/>
          <w:bCs/>
          <w:color w:val="FF0000"/>
          <w:kern w:val="2"/>
          <w:szCs w:val="32"/>
          <w:lang w:val="en-US" w:eastAsia="zh-CN" w:bidi="ar-SA"/>
        </w:rPr>
      </w:pPr>
      <w:r>
        <w:rPr>
          <w:rFonts w:hint="default" w:ascii="Times New Roman" w:hAnsi="Times New Roman" w:eastAsia="仿宋_GB2312" w:cs="Times New Roman"/>
          <w:b/>
          <w:bCs/>
          <w:color w:val="auto"/>
          <w:kern w:val="2"/>
          <w:szCs w:val="32"/>
          <w:lang w:val="en-US" w:eastAsia="zh-CN" w:bidi="ar-SA"/>
        </w:rPr>
        <w:t>【企业提示】</w:t>
      </w:r>
      <w:r>
        <w:rPr>
          <w:rFonts w:hint="eastAsia" w:cs="Times New Roman"/>
          <w:b/>
          <w:bCs/>
          <w:color w:val="auto"/>
          <w:kern w:val="2"/>
          <w:szCs w:val="32"/>
          <w:lang w:val="en-US" w:eastAsia="zh-CN" w:bidi="ar-SA"/>
        </w:rPr>
        <w:t xml:space="preserve"> </w:t>
      </w:r>
      <w:r>
        <w:rPr>
          <w:color w:val="auto"/>
        </w:rPr>
        <w:t>美国伊利诺伊州北区联邦地方法院对海能达</w:t>
      </w:r>
      <w:r>
        <w:t>的禁令事件是一起复杂的跨国知识产权纠纷案件。海能达因未能遵守美国法院先前发出的禁诉令，而被判以高额罚款并禁止在全球范围内销售其双向无线电技术产品。这一事件引发了多方面的讨论和关注。该案例涉及法律合规、跨国诉讼、司法互信和国际合作等多方面因素，对企业国际化经营提供了重要的启示和教训：企业必须重视合规经营，尊重并遵守所在国家的法律法规，同时也要积极维护自身的合法权益。</w:t>
      </w:r>
    </w:p>
    <w:p w14:paraId="39D9A76C">
      <w:pPr>
        <w:keepNext w:val="0"/>
        <w:keepLines w:val="0"/>
        <w:pageBreakBefore w:val="0"/>
        <w:widowControl w:val="0"/>
        <w:tabs>
          <w:tab w:val="right" w:pos="8306"/>
        </w:tabs>
        <w:kinsoku/>
        <w:wordWrap w:val="0"/>
        <w:overflowPunct/>
        <w:topLinePunct w:val="0"/>
        <w:autoSpaceDE/>
        <w:autoSpaceDN/>
        <w:bidi w:val="0"/>
        <w:adjustRightInd/>
        <w:snapToGrid/>
        <w:ind w:left="0" w:leftChars="0" w:firstLine="0" w:firstLineChars="0"/>
        <w:contextualSpacing/>
        <w:jc w:val="right"/>
        <w:textAlignment w:val="auto"/>
        <w:rPr>
          <w:rFonts w:hint="default" w:cs="Times New Roman"/>
          <w:b/>
          <w:bCs/>
          <w:color w:val="FF0000"/>
          <w:kern w:val="2"/>
          <w:szCs w:val="32"/>
          <w:lang w:val="en-US" w:eastAsia="zh-CN" w:bidi="ar-SA"/>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（编译自：https://baijiahao.baidu.com/s?id=1796027279883165530&amp;wfr=spider&amp;for=pc）</w:t>
      </w:r>
    </w:p>
    <w:p w14:paraId="6FB25376">
      <w:pPr>
        <w:pStyle w:val="2"/>
        <w:ind w:firstLine="640"/>
        <w:rPr>
          <w:rFonts w:hint="default" w:ascii="Times New Roman" w:hAnsi="Times New Roman" w:cs="Times New Roman"/>
          <w:color w:val="000000" w:themeColor="text1"/>
          <w14:textFill>
            <w14:solidFill>
              <w14:schemeClr w14:val="tx1"/>
            </w14:solidFill>
          </w14:textFill>
        </w:rPr>
      </w:pPr>
      <w:bookmarkStart w:id="75" w:name="_Toc9378"/>
      <w:bookmarkStart w:id="76" w:name="_Toc21287"/>
      <w:bookmarkStart w:id="77" w:name="_Toc17935"/>
      <w:r>
        <w:rPr>
          <w:rFonts w:hint="default" w:ascii="Times New Roman" w:hAnsi="Times New Roman" w:cs="Times New Roman"/>
          <w:color w:val="000000" w:themeColor="text1"/>
          <w14:textFill>
            <w14:solidFill>
              <w14:schemeClr w14:val="tx1"/>
            </w14:solidFill>
          </w14:textFill>
        </w:rPr>
        <w:t>国内外知识产权动态</w:t>
      </w:r>
      <w:bookmarkEnd w:id="75"/>
      <w:bookmarkEnd w:id="76"/>
      <w:bookmarkEnd w:id="77"/>
    </w:p>
    <w:p w14:paraId="75138BAA">
      <w:pPr>
        <w:pStyle w:val="3"/>
        <w:ind w:firstLine="643"/>
        <w:rPr>
          <w:rFonts w:hint="default" w:ascii="Times New Roman" w:hAnsi="Times New Roman" w:cs="Times New Roman"/>
          <w:b w:val="0"/>
          <w:bCs/>
          <w:color w:val="000000" w:themeColor="text1"/>
          <w14:textFill>
            <w14:solidFill>
              <w14:schemeClr w14:val="tx1"/>
            </w14:solidFill>
          </w14:textFill>
        </w:rPr>
      </w:pPr>
      <w:bookmarkStart w:id="78" w:name="_Toc16643"/>
      <w:bookmarkStart w:id="79" w:name="_Toc7539"/>
      <w:bookmarkStart w:id="80" w:name="_Toc6649"/>
      <w:r>
        <w:rPr>
          <w:rFonts w:hint="default" w:ascii="Times New Roman" w:hAnsi="Times New Roman" w:cs="Times New Roman"/>
          <w:b w:val="0"/>
          <w:bCs/>
          <w:color w:val="000000" w:themeColor="text1"/>
          <w14:textFill>
            <w14:solidFill>
              <w14:schemeClr w14:val="tx1"/>
            </w14:solidFill>
          </w14:textFill>
        </w:rPr>
        <w:t>国内外知识产权法律法规动态</w:t>
      </w:r>
      <w:bookmarkEnd w:id="78"/>
      <w:bookmarkEnd w:id="79"/>
      <w:bookmarkEnd w:id="80"/>
    </w:p>
    <w:p w14:paraId="0AE4E320">
      <w:pPr>
        <w:pStyle w:val="4"/>
        <w:ind w:firstLine="643"/>
        <w:rPr>
          <w:rFonts w:hint="default" w:ascii="Times New Roman" w:hAnsi="Times New Roman" w:cs="Times New Roman"/>
          <w:color w:val="000000" w:themeColor="text1"/>
          <w14:textFill>
            <w14:solidFill>
              <w14:schemeClr w14:val="tx1"/>
            </w14:solidFill>
          </w14:textFill>
        </w:rPr>
      </w:pPr>
      <w:bookmarkStart w:id="81" w:name="_Toc3771"/>
      <w:bookmarkStart w:id="82" w:name="_Toc10668"/>
      <w:bookmarkStart w:id="83" w:name="_Toc10606"/>
      <w:bookmarkStart w:id="84" w:name="_Toc2425"/>
      <w:r>
        <w:rPr>
          <w:rFonts w:hint="default" w:ascii="Times New Roman" w:hAnsi="Times New Roman" w:cs="Times New Roman"/>
          <w:color w:val="000000" w:themeColor="text1"/>
          <w14:textFill>
            <w14:solidFill>
              <w14:schemeClr w14:val="tx1"/>
            </w14:solidFill>
          </w14:textFill>
        </w:rPr>
        <w:t>国内知识产权法律法规动态</w:t>
      </w:r>
      <w:bookmarkEnd w:id="81"/>
      <w:bookmarkEnd w:id="82"/>
      <w:bookmarkEnd w:id="83"/>
    </w:p>
    <w:bookmarkEnd w:id="84"/>
    <w:p w14:paraId="3E62986F">
      <w:pPr>
        <w:tabs>
          <w:tab w:val="right" w:pos="8306"/>
        </w:tabs>
        <w:ind w:firstLine="640"/>
        <w:contextualSpacing/>
        <w:jc w:val="left"/>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（1）2024.1.1日起《知识产权领域中央与地方财政事权和支出责任划分改革方案》实施</w:t>
      </w:r>
      <w:r>
        <w:rPr>
          <w:rFonts w:hint="eastAsia" w:cs="Times New Roman"/>
          <w:color w:val="000000" w:themeColor="text1"/>
          <w:szCs w:val="32"/>
          <w:lang w:eastAsia="zh-CN"/>
          <w14:textFill>
            <w14:solidFill>
              <w14:schemeClr w14:val="tx1"/>
            </w14:solidFill>
          </w14:textFill>
        </w:rPr>
        <w:t>。</w:t>
      </w:r>
    </w:p>
    <w:p w14:paraId="44895996">
      <w:pPr>
        <w:tabs>
          <w:tab w:val="right" w:pos="8306"/>
        </w:tabs>
        <w:ind w:firstLine="640"/>
        <w:contextualSpacing/>
        <w:jc w:val="left"/>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）2024.1.20日起《中华人民共和国专利法实施细则》施行</w:t>
      </w:r>
      <w:r>
        <w:rPr>
          <w:rFonts w:hint="eastAsia" w:cs="Times New Roman"/>
          <w:color w:val="000000" w:themeColor="text1"/>
          <w:szCs w:val="32"/>
          <w:lang w:eastAsia="zh-CN"/>
          <w14:textFill>
            <w14:solidFill>
              <w14:schemeClr w14:val="tx1"/>
            </w14:solidFill>
          </w14:textFill>
        </w:rPr>
        <w:t>。</w:t>
      </w:r>
    </w:p>
    <w:p w14:paraId="3A9D97F8">
      <w:pPr>
        <w:tabs>
          <w:tab w:val="right" w:pos="8306"/>
        </w:tabs>
        <w:ind w:firstLine="640"/>
        <w:contextualSpacing/>
        <w:jc w:val="left"/>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）2024.1.20日起《规范申请专利行为的规定（2023）》施行</w:t>
      </w:r>
      <w:r>
        <w:rPr>
          <w:rFonts w:hint="eastAsia" w:cs="Times New Roman"/>
          <w:color w:val="000000" w:themeColor="text1"/>
          <w:szCs w:val="32"/>
          <w:lang w:eastAsia="zh-CN"/>
          <w14:textFill>
            <w14:solidFill>
              <w14:schemeClr w14:val="tx1"/>
            </w14:solidFill>
          </w14:textFill>
        </w:rPr>
        <w:t>。</w:t>
      </w:r>
    </w:p>
    <w:p w14:paraId="6BBC6620">
      <w:pPr>
        <w:tabs>
          <w:tab w:val="right" w:pos="8306"/>
        </w:tabs>
        <w:ind w:firstLine="640"/>
        <w:contextualSpacing/>
        <w:jc w:val="left"/>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）2024.1.20日起《专利审查指南（2023）》施行</w:t>
      </w:r>
      <w:r>
        <w:rPr>
          <w:rFonts w:hint="eastAsia" w:cs="Times New Roman"/>
          <w:color w:val="000000" w:themeColor="text1"/>
          <w:szCs w:val="32"/>
          <w:lang w:eastAsia="zh-CN"/>
          <w14:textFill>
            <w14:solidFill>
              <w14:schemeClr w14:val="tx1"/>
            </w14:solidFill>
          </w14:textFill>
        </w:rPr>
        <w:t>。</w:t>
      </w:r>
    </w:p>
    <w:p w14:paraId="06AAB5C0">
      <w:pPr>
        <w:tabs>
          <w:tab w:val="right" w:pos="8306"/>
        </w:tabs>
        <w:ind w:firstLine="640"/>
        <w:contextualSpacing/>
        <w:jc w:val="left"/>
        <w:rPr>
          <w:rFonts w:hint="eastAsia"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）2024.1.20日起《关于施行修改后的专利法及其实施细则相关审查业务处理的过渡办法》实施</w:t>
      </w:r>
      <w:r>
        <w:rPr>
          <w:rFonts w:hint="eastAsia" w:cs="Times New Roman"/>
          <w:color w:val="000000" w:themeColor="text1"/>
          <w:szCs w:val="32"/>
          <w:lang w:eastAsia="zh-CN"/>
          <w14:textFill>
            <w14:solidFill>
              <w14:schemeClr w14:val="tx1"/>
            </w14:solidFill>
          </w14:textFill>
        </w:rPr>
        <w:t>。</w:t>
      </w:r>
    </w:p>
    <w:p w14:paraId="3DA4211F">
      <w:pPr>
        <w:keepNext w:val="0"/>
        <w:keepLines w:val="0"/>
        <w:pageBreakBefore w:val="0"/>
        <w:widowControl w:val="0"/>
        <w:tabs>
          <w:tab w:val="right" w:pos="8306"/>
        </w:tabs>
        <w:kinsoku/>
        <w:wordWrap w:val="0"/>
        <w:overflowPunct/>
        <w:topLinePunct w:val="0"/>
        <w:autoSpaceDE/>
        <w:autoSpaceDN/>
        <w:bidi w:val="0"/>
        <w:adjustRightInd/>
        <w:snapToGrid/>
        <w:ind w:left="0" w:leftChars="0" w:firstLine="0" w:firstLineChars="0"/>
        <w:contextualSpacing/>
        <w:jc w:val="right"/>
        <w:textAlignment w:val="auto"/>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（编译自：https://mp.weixin.qq.com/s/KGOEPXe8n7Au0zynRg4ufA）</w:t>
      </w:r>
    </w:p>
    <w:p w14:paraId="21D4337D">
      <w:pPr>
        <w:pStyle w:val="4"/>
        <w:ind w:firstLine="643"/>
        <w:rPr>
          <w:rFonts w:hint="default" w:ascii="Times New Roman" w:hAnsi="Times New Roman" w:cs="Times New Roman"/>
          <w:color w:val="000000" w:themeColor="text1"/>
          <w14:textFill>
            <w14:solidFill>
              <w14:schemeClr w14:val="tx1"/>
            </w14:solidFill>
          </w14:textFill>
        </w:rPr>
      </w:pPr>
      <w:bookmarkStart w:id="85" w:name="_Toc18640"/>
      <w:bookmarkStart w:id="86" w:name="_Toc16733"/>
      <w:bookmarkStart w:id="87" w:name="_Toc20642"/>
      <w:bookmarkStart w:id="88" w:name="_Toc22763"/>
      <w:r>
        <w:rPr>
          <w:rFonts w:hint="default" w:ascii="Times New Roman" w:hAnsi="Times New Roman" w:cs="Times New Roman"/>
          <w:color w:val="000000" w:themeColor="text1"/>
          <w14:textFill>
            <w14:solidFill>
              <w14:schemeClr w14:val="tx1"/>
            </w14:solidFill>
          </w14:textFill>
        </w:rPr>
        <w:t>国外知识产权法律法规动态</w:t>
      </w:r>
      <w:bookmarkEnd w:id="85"/>
      <w:bookmarkEnd w:id="86"/>
      <w:bookmarkEnd w:id="87"/>
    </w:p>
    <w:bookmarkEnd w:id="88"/>
    <w:p w14:paraId="05AED664">
      <w:pPr>
        <w:numPr>
          <w:ilvl w:val="0"/>
          <w:numId w:val="3"/>
        </w:numPr>
        <w:tabs>
          <w:tab w:val="right" w:pos="8306"/>
        </w:tabs>
        <w:ind w:firstLine="640"/>
        <w:contextualSpacing/>
        <w:jc w:val="left"/>
        <w:rPr>
          <w:rFonts w:hint="eastAsia"/>
          <w:lang w:eastAsia="zh-CN"/>
        </w:rPr>
      </w:pPr>
      <w:r>
        <w:rPr>
          <w:rFonts w:hint="default" w:ascii="Times New Roman" w:hAnsi="Times New Roman" w:eastAsia="仿宋_GB2312" w:cstheme="minorBidi"/>
          <w:i w:val="0"/>
          <w:iCs w:val="0"/>
          <w:caps w:val="0"/>
          <w:spacing w:val="0"/>
          <w:sz w:val="32"/>
          <w:szCs w:val="22"/>
          <w:shd w:val="clear" w:fill="auto"/>
        </w:rPr>
        <w:t>欧盟知识产权局新审查指南（2024年3月版）</w:t>
      </w:r>
      <w:r>
        <w:rPr>
          <w:rFonts w:hint="eastAsia" w:cstheme="minorBidi"/>
          <w:i w:val="0"/>
          <w:iCs w:val="0"/>
          <w:caps w:val="0"/>
          <w:spacing w:val="0"/>
          <w:sz w:val="32"/>
          <w:szCs w:val="22"/>
          <w:shd w:val="clear"/>
          <w:lang w:val="en-US" w:eastAsia="zh-CN"/>
        </w:rPr>
        <w:t>发布。</w:t>
      </w:r>
      <w:r>
        <w:rPr>
          <w:rFonts w:hint="eastAsia"/>
        </w:rPr>
        <w:t>2024年3月28日欧盟知识产权局第EX-24-2号局长决定，欧盟知识产权局新审查指南于2024年3月31日起正式生效。欧盟知识产权局审查指南本次修改主要集中在欧盟商标部分</w:t>
      </w:r>
      <w:r>
        <w:rPr>
          <w:rFonts w:hint="eastAsia"/>
          <w:lang w:eastAsia="zh-CN"/>
        </w:rPr>
        <w:t>。</w:t>
      </w:r>
    </w:p>
    <w:p w14:paraId="1656F30F">
      <w:pPr>
        <w:tabs>
          <w:tab w:val="right" w:pos="8306"/>
        </w:tabs>
        <w:ind w:firstLine="6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w:t>
      </w:r>
      <w:r>
        <w:rPr>
          <w:rFonts w:hint="eastAsia" w:eastAsia="方正仿宋_GB2312" w:cs="Times New Roman"/>
          <w:color w:val="000000" w:themeColor="text1"/>
          <w:spacing w:val="5"/>
          <w:kern w:val="0"/>
          <w:sz w:val="21"/>
          <w:szCs w:val="21"/>
          <w:shd w:val="clear" w:color="auto" w:fill="FFFFFF"/>
          <w:lang w:val="en-US" w:eastAsia="zh-CN" w:bidi="ar"/>
          <w14:textFill>
            <w14:solidFill>
              <w14:schemeClr w14:val="tx1"/>
            </w14:solidFill>
          </w14:textFill>
        </w:rPr>
        <w:t>编译自：</w:t>
      </w:r>
      <w:r>
        <w:rPr>
          <w:rFonts w:hint="default" w:eastAsia="方正仿宋_GB2312" w:cs="Times New Roman"/>
          <w:color w:val="000000" w:themeColor="text1"/>
          <w:spacing w:val="5"/>
          <w:kern w:val="0"/>
          <w:sz w:val="21"/>
          <w:szCs w:val="21"/>
          <w:shd w:val="clear" w:color="auto" w:fill="FFFFFF"/>
          <w:lang w:val="en-US" w:eastAsia="zh-CN" w:bidi="ar"/>
          <w14:textFill>
            <w14:solidFill>
              <w14:schemeClr w14:val="tx1"/>
            </w14:solidFill>
          </w14:textFill>
        </w:rPr>
        <w:t>https://mp.weixin.qq.com/s/Y6V0og_pQKicE_Z1W-N5TA</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w:t>
      </w:r>
    </w:p>
    <w:p w14:paraId="0AE7E6A2">
      <w:pPr>
        <w:tabs>
          <w:tab w:val="right" w:pos="8306"/>
        </w:tabs>
        <w:ind w:firstLine="640"/>
        <w:contextualSpacing/>
        <w:jc w:val="left"/>
        <w:rPr>
          <w:rFonts w:hint="default" w:ascii="Times New Roman" w:hAnsi="Times New Roman" w:cstheme="minorBidi"/>
          <w:color w:val="auto"/>
          <w:szCs w:val="22"/>
          <w:shd w:val="clear" w:fill="auto"/>
        </w:rPr>
      </w:pPr>
      <w:r>
        <w:rPr>
          <w:rFonts w:hint="default" w:ascii="Times New Roman" w:hAnsi="Times New Roman" w:cs="Times New Roman"/>
          <w:color w:val="000000" w:themeColor="text1"/>
          <w:szCs w:val="32"/>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w:t>
      </w:r>
      <w:r>
        <w:rPr>
          <w:shd w:val="clear" w:fill="auto"/>
        </w:rPr>
        <w:t>2024</w:t>
      </w:r>
      <w:r>
        <w:rPr>
          <w:rFonts w:hint="default"/>
          <w:shd w:val="clear" w:fill="auto"/>
        </w:rPr>
        <w:t>年1月25日</w:t>
      </w:r>
      <w:r>
        <w:rPr>
          <w:rFonts w:hint="default"/>
          <w:shd w:val="clear" w:fill="auto"/>
          <w:lang w:eastAsia="zh-CN"/>
        </w:rPr>
        <w:t>，</w:t>
      </w:r>
      <w:r>
        <w:rPr>
          <w:shd w:val="clear" w:fill="auto"/>
        </w:rPr>
        <w:t>韩国知识产权局修订</w:t>
      </w:r>
      <w:r>
        <w:rPr>
          <w:rFonts w:hint="default"/>
          <w:shd w:val="clear" w:fill="auto"/>
          <w:lang w:val="en-US" w:eastAsia="zh-CN"/>
        </w:rPr>
        <w:t>的</w:t>
      </w:r>
      <w:r>
        <w:rPr>
          <w:shd w:val="clear" w:fill="auto"/>
        </w:rPr>
        <w:t>《防止不正当竞争和保护商业秘密法》</w:t>
      </w:r>
      <w:r>
        <w:rPr>
          <w:rFonts w:hint="default"/>
          <w:shd w:val="clear" w:fill="auto"/>
        </w:rPr>
        <w:t>在国会全体会议上获得通过。</w:t>
      </w:r>
      <w:r>
        <w:rPr>
          <w:shd w:val="clear" w:fill="auto"/>
        </w:rPr>
        <w:t>该修正案</w:t>
      </w:r>
      <w:r>
        <w:rPr>
          <w:rFonts w:hint="default"/>
          <w:shd w:val="clear" w:fill="auto"/>
          <w:lang w:val="en-US" w:eastAsia="zh-CN"/>
        </w:rPr>
        <w:t>提高了相应</w:t>
      </w:r>
      <w:r>
        <w:rPr>
          <w:shd w:val="clear" w:fill="auto"/>
        </w:rPr>
        <w:t>惩罚性赔偿金，并对窃取创意等不正当竞争行为引入了纠正令制度。</w:t>
      </w:r>
    </w:p>
    <w:p w14:paraId="43B94453">
      <w:pPr>
        <w:wordWrap w:val="0"/>
        <w:ind w:firstLine="440"/>
        <w:rPr>
          <w:rFonts w:hint="default"/>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w:t>
      </w: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：https://www.kipo.go.kr/ko/kpoBultnDetail.do?menuCd=SCD0200618&amp;ntatcSeq=20002&amp;sysCd=SCD02&amp;aprchId=BUT0000029</w:t>
      </w: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p>
    <w:p w14:paraId="7DD6E1E1">
      <w:pPr>
        <w:pStyle w:val="3"/>
        <w:ind w:firstLine="640"/>
        <w:rPr>
          <w:rFonts w:hint="default" w:ascii="Times New Roman" w:hAnsi="Times New Roman" w:cs="Times New Roman"/>
          <w:color w:val="000000" w:themeColor="text1"/>
          <w14:textFill>
            <w14:solidFill>
              <w14:schemeClr w14:val="tx1"/>
            </w14:solidFill>
          </w14:textFill>
        </w:rPr>
      </w:pPr>
      <w:bookmarkStart w:id="89" w:name="_Toc28937"/>
      <w:bookmarkStart w:id="90" w:name="_Toc11060"/>
      <w:bookmarkStart w:id="91" w:name="_Toc13498"/>
      <w:r>
        <w:rPr>
          <w:rFonts w:hint="default" w:ascii="Times New Roman" w:hAnsi="Times New Roman" w:cs="Times New Roman"/>
          <w:color w:val="000000" w:themeColor="text1"/>
          <w14:textFill>
            <w14:solidFill>
              <w14:schemeClr w14:val="tx1"/>
            </w14:solidFill>
          </w14:textFill>
        </w:rPr>
        <w:t>国内外知识产权资讯</w:t>
      </w:r>
      <w:bookmarkEnd w:id="89"/>
      <w:bookmarkEnd w:id="90"/>
      <w:bookmarkEnd w:id="91"/>
    </w:p>
    <w:p w14:paraId="42CE07AF">
      <w:pPr>
        <w:pStyle w:val="4"/>
        <w:ind w:firstLine="643"/>
        <w:rPr>
          <w:rFonts w:hint="default" w:ascii="Times New Roman" w:hAnsi="Times New Roman" w:cs="Times New Roman"/>
          <w:color w:val="000000" w:themeColor="text1"/>
          <w14:textFill>
            <w14:solidFill>
              <w14:schemeClr w14:val="tx1"/>
            </w14:solidFill>
          </w14:textFill>
        </w:rPr>
      </w:pPr>
      <w:bookmarkStart w:id="92" w:name="_Toc31357"/>
      <w:bookmarkStart w:id="93" w:name="_Toc16615"/>
      <w:bookmarkStart w:id="94" w:name="_Toc11269"/>
      <w:r>
        <w:rPr>
          <w:rFonts w:hint="default" w:ascii="Times New Roman" w:hAnsi="Times New Roman" w:cs="Times New Roman"/>
          <w:color w:val="000000" w:themeColor="text1"/>
          <w14:textFill>
            <w14:solidFill>
              <w14:schemeClr w14:val="tx1"/>
            </w14:solidFill>
          </w14:textFill>
        </w:rPr>
        <w:t>国内知识产权资讯</w:t>
      </w:r>
      <w:bookmarkEnd w:id="92"/>
      <w:bookmarkEnd w:id="93"/>
      <w:bookmarkEnd w:id="94"/>
    </w:p>
    <w:p w14:paraId="27BF6EBE">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季度国内知识产权动态速览：</w:t>
      </w:r>
    </w:p>
    <w:p w14:paraId="1AD4B9D2">
      <w:pPr>
        <w:numPr>
          <w:ilvl w:val="0"/>
          <w:numId w:val="4"/>
        </w:numPr>
        <w:bidi w:val="0"/>
        <w:ind w:left="420" w:leftChars="0" w:hanging="420" w:firstLineChars="0"/>
        <w:rPr>
          <w:rFonts w:hint="eastAsia" w:eastAsia="仿宋_GB2312"/>
          <w:lang w:val="en-US" w:eastAsia="zh-CN"/>
        </w:rPr>
      </w:pPr>
      <w:r>
        <w:rPr>
          <w:rFonts w:hint="eastAsia"/>
        </w:rPr>
        <w:t>《知识产权强国建设发展报告（2023年）》</w:t>
      </w:r>
      <w:r>
        <w:rPr>
          <w:rFonts w:hint="eastAsia"/>
          <w:lang w:val="en-US" w:eastAsia="zh-CN"/>
        </w:rPr>
        <w:t>发布</w:t>
      </w:r>
    </w:p>
    <w:p w14:paraId="7ED6694D">
      <w:pPr>
        <w:numPr>
          <w:ilvl w:val="0"/>
          <w:numId w:val="5"/>
        </w:numPr>
        <w:tabs>
          <w:tab w:val="right" w:pos="8306"/>
        </w:tabs>
        <w:ind w:left="0" w:firstLine="0" w:firstLineChars="0"/>
        <w:contextualSpacing/>
        <w:jc w:val="left"/>
        <w:rPr>
          <w:rFonts w:hint="default" w:ascii="Times New Roman" w:hAnsi="Times New Roman" w:cs="Times New Roman"/>
          <w:color w:val="000000" w:themeColor="text1"/>
          <w:szCs w:val="32"/>
          <w14:textFill>
            <w14:solidFill>
              <w14:schemeClr w14:val="tx1"/>
            </w14:solidFill>
          </w14:textFill>
        </w:rPr>
      </w:pPr>
      <w:r>
        <w:t>国家知识产权局发布第三批知识产权行政保护指导案例（9-11号）理解与适用</w:t>
      </w:r>
    </w:p>
    <w:p w14:paraId="0674272A">
      <w:pPr>
        <w:numPr>
          <w:ilvl w:val="0"/>
          <w:numId w:val="5"/>
        </w:numPr>
        <w:tabs>
          <w:tab w:val="right" w:pos="8306"/>
        </w:tabs>
        <w:ind w:left="0" w:firstLine="0" w:firstLineChars="0"/>
        <w:contextualSpacing/>
        <w:jc w:val="left"/>
        <w:rPr>
          <w:rFonts w:hint="default"/>
        </w:rPr>
      </w:pPr>
      <w:r>
        <w:t>最高人民法院知识产权法庭成立五周年100件典型案例</w:t>
      </w:r>
    </w:p>
    <w:p w14:paraId="0AE917C9">
      <w:pPr>
        <w:numPr>
          <w:ilvl w:val="0"/>
          <w:numId w:val="6"/>
        </w:numPr>
        <w:bidi w:val="0"/>
        <w:ind w:left="420" w:leftChars="0" w:hanging="420" w:firstLineChars="0"/>
        <w:rPr>
          <w:lang w:val="en-US" w:eastAsia="zh-CN"/>
        </w:rPr>
      </w:pPr>
      <w:r>
        <w:rPr>
          <w:lang w:val="en-US" w:eastAsia="zh-CN"/>
        </w:rPr>
        <w:t>中国法院作出全球首例生成式AI服务侵犯著作权的生效判决</w:t>
      </w:r>
    </w:p>
    <w:p w14:paraId="5355DA8F">
      <w:pPr>
        <w:numPr>
          <w:ilvl w:val="0"/>
          <w:numId w:val="7"/>
        </w:numPr>
        <w:bidi w:val="0"/>
        <w:ind w:left="420" w:leftChars="0" w:hanging="420" w:firstLineChars="0"/>
      </w:pPr>
      <w:r>
        <w:t>浙江：2024年知识产权强省建设工作联席会议全体成员会议召开</w:t>
      </w:r>
    </w:p>
    <w:p w14:paraId="75466BC7">
      <w:pPr>
        <w:numPr>
          <w:ilvl w:val="0"/>
          <w:numId w:val="7"/>
        </w:numPr>
        <w:bidi w:val="0"/>
        <w:ind w:left="420" w:leftChars="0" w:hanging="420" w:firstLineChars="0"/>
      </w:pPr>
      <w:r>
        <w:rPr>
          <w:rFonts w:hint="eastAsia"/>
          <w:lang w:val="en-US" w:eastAsia="zh-CN"/>
        </w:rPr>
        <w:t>杭州高新区（滨江）：商标质押业务受理量居全国第一</w:t>
      </w:r>
    </w:p>
    <w:p w14:paraId="2D71F24C">
      <w:pPr>
        <w:bidi w:val="0"/>
      </w:pPr>
      <w:r>
        <w:rPr>
          <w:rFonts w:hint="eastAsia"/>
          <w:lang w:eastAsia="zh-CN"/>
        </w:rPr>
        <w:t>（</w:t>
      </w:r>
      <w:r>
        <w:rPr>
          <w:rFonts w:hint="eastAsia"/>
          <w:lang w:val="en-US" w:eastAsia="zh-CN"/>
        </w:rPr>
        <w:t>1</w:t>
      </w:r>
      <w:r>
        <w:rPr>
          <w:rFonts w:hint="eastAsia"/>
          <w:lang w:eastAsia="zh-CN"/>
        </w:rPr>
        <w:t>）</w:t>
      </w:r>
      <w:r>
        <w:rPr>
          <w:rFonts w:hint="eastAsia"/>
        </w:rPr>
        <w:t>国家知识产权强国建设工作部际联席会议办公室发布《知识产权强国建设发展报告（2023年）》</w:t>
      </w:r>
    </w:p>
    <w:p w14:paraId="1D11E5AD">
      <w:pPr>
        <w:tabs>
          <w:tab w:val="right" w:pos="8306"/>
        </w:tabs>
        <w:ind w:firstLine="640"/>
        <w:contextualSpacing/>
        <w:jc w:val="left"/>
        <w:rPr>
          <w:rFonts w:hint="default"/>
        </w:rPr>
      </w:pPr>
      <w:r>
        <w:rPr>
          <w:rFonts w:hint="default" w:ascii="Times New Roman" w:hAnsi="Times New Roman" w:cs="Times New Roman"/>
          <w:color w:val="000000" w:themeColor="text1"/>
          <w:szCs w:val="32"/>
          <w:shd w:val="clear" w:color="auto" w:fill="FFFFFF"/>
          <w14:textFill>
            <w14:solidFill>
              <w14:schemeClr w14:val="tx1"/>
            </w14:solidFill>
          </w14:textFill>
        </w:rPr>
        <w:t>202</w:t>
      </w:r>
      <w:r>
        <w:rPr>
          <w:rFonts w:hint="eastAsia" w:cs="Times New Roman"/>
          <w:color w:val="000000" w:themeColor="text1"/>
          <w:szCs w:val="32"/>
          <w:shd w:val="clear" w:color="auto" w:fill="FFFFFF"/>
          <w:lang w:val="en-US" w:eastAsia="zh-CN"/>
          <w14:textFill>
            <w14:solidFill>
              <w14:schemeClr w14:val="tx1"/>
            </w14:solidFill>
          </w14:textFill>
        </w:rPr>
        <w:t>4</w:t>
      </w:r>
      <w:r>
        <w:rPr>
          <w:rFonts w:hint="default" w:ascii="Times New Roman" w:hAnsi="Times New Roman" w:cs="Times New Roman"/>
          <w:color w:val="000000" w:themeColor="text1"/>
          <w:szCs w:val="32"/>
          <w:shd w:val="clear" w:color="auto" w:fill="FFFFFF"/>
          <w14:textFill>
            <w14:solidFill>
              <w14:schemeClr w14:val="tx1"/>
            </w14:solidFill>
          </w14:textFill>
        </w:rPr>
        <w:t>年1月</w:t>
      </w:r>
      <w:r>
        <w:rPr>
          <w:rFonts w:hint="eastAsia" w:cs="Times New Roman"/>
          <w:color w:val="000000" w:themeColor="text1"/>
          <w:szCs w:val="32"/>
          <w:shd w:val="clear" w:color="auto" w:fill="FFFFFF"/>
          <w:lang w:val="en-US" w:eastAsia="zh-CN"/>
          <w14:textFill>
            <w14:solidFill>
              <w14:schemeClr w14:val="tx1"/>
            </w14:solidFill>
          </w14:textFill>
        </w:rPr>
        <w:t>18</w:t>
      </w:r>
      <w:r>
        <w:rPr>
          <w:rFonts w:hint="default" w:ascii="Times New Roman" w:hAnsi="Times New Roman" w:cs="Times New Roman"/>
          <w:color w:val="000000" w:themeColor="text1"/>
          <w:szCs w:val="32"/>
          <w:shd w:val="clear" w:color="auto" w:fill="FFFFFF"/>
          <w14:textFill>
            <w14:solidFill>
              <w14:schemeClr w14:val="tx1"/>
            </w14:solidFill>
          </w14:textFill>
        </w:rPr>
        <w:t>日</w:t>
      </w:r>
      <w:r>
        <w:rPr>
          <w:rFonts w:hint="eastAsia" w:cs="Times New Roman"/>
          <w:color w:val="000000" w:themeColor="text1"/>
          <w:szCs w:val="32"/>
          <w:shd w:val="clear" w:color="auto" w:fill="FFFFFF"/>
          <w:lang w:eastAsia="zh-CN"/>
          <w14:textFill>
            <w14:solidFill>
              <w14:schemeClr w14:val="tx1"/>
            </w14:solidFill>
          </w14:textFill>
        </w:rPr>
        <w:t>，</w:t>
      </w:r>
      <w:r>
        <w:t>国家知识产权强国建设工作部际联席会议办公室会同有关方面编制完成《知识产权强国建设发展报告（2023年）》（以下简称《报告》）。《报告》总结了知识产权强国建设发展目标进展情况和知识产权强国建设取得的成效，从国家及地方两个层面评价了知识产权强国建设发展状况，分析了知识产权强国建设面临的形势，并对2024年知识产权强国建设发展进行了展望。</w:t>
      </w:r>
    </w:p>
    <w:p w14:paraId="71A6B77D">
      <w:pPr>
        <w:tabs>
          <w:tab w:val="right" w:pos="8306"/>
        </w:tabs>
        <w:ind w:firstLine="56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（编译自：https://www.cnipa.gov.cn/art/2024/1/18/art_53_189834.html）</w:t>
      </w:r>
    </w:p>
    <w:p w14:paraId="46EEA9C0">
      <w:pPr>
        <w:bidi w:val="0"/>
        <w:rPr>
          <w:rFonts w:hint="default" w:ascii="Times New Roman" w:hAnsi="Times New Roman" w:cs="Times New Roman"/>
          <w:color w:val="000000" w:themeColor="text1"/>
          <w14:textFill>
            <w14:solidFill>
              <w14:schemeClr w14:val="tx1"/>
            </w14:solidFill>
          </w14:textFill>
        </w:rPr>
      </w:pPr>
      <w:r>
        <w:rPr>
          <w:rFonts w:hint="eastAsia"/>
          <w:lang w:eastAsia="zh-CN"/>
        </w:rPr>
        <w:t>（</w:t>
      </w:r>
      <w:r>
        <w:rPr>
          <w:rFonts w:hint="eastAsia"/>
          <w:lang w:val="en-US" w:eastAsia="zh-CN"/>
        </w:rPr>
        <w:t>2</w:t>
      </w:r>
      <w:r>
        <w:rPr>
          <w:rFonts w:hint="eastAsia"/>
          <w:lang w:eastAsia="zh-CN"/>
        </w:rPr>
        <w:t>）</w:t>
      </w:r>
      <w:r>
        <w:t>国家知识产权局发布第三批知识产权行政保护指导案例（9-11号）理解与适用</w:t>
      </w:r>
    </w:p>
    <w:p w14:paraId="05EB1E5A">
      <w:pPr>
        <w:bidi w:val="0"/>
        <w:rPr>
          <w:rFonts w:hint="default"/>
        </w:rPr>
      </w:pPr>
      <w:r>
        <w:rPr>
          <w:rFonts w:hint="eastAsia"/>
          <w:lang w:val="en-US" w:eastAsia="zh-CN"/>
        </w:rPr>
        <w:t>2024年</w:t>
      </w:r>
      <w:r>
        <w:t>2月6日，为便于地方知识产权行政执法保护机构在办理类似案件时更好地参照执行，国家知识产权局就第三批知识产权行政保护指导案例（9-11号）发布理解与适用，对案例的推选经过、指导意义、案件要点等进行详细解读和说明。</w:t>
      </w:r>
    </w:p>
    <w:p w14:paraId="3DDD1B4D">
      <w:pPr>
        <w:tabs>
          <w:tab w:val="right" w:pos="8306"/>
        </w:tabs>
        <w:ind w:firstLine="4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（编译自：https://www.cnipa.gov.cn/art/2024/2/6/art_66_190198.html）</w:t>
      </w:r>
    </w:p>
    <w:p w14:paraId="0FB4572D">
      <w:pPr>
        <w:bidi w:val="0"/>
        <w:rPr>
          <w:rFonts w:hint="default"/>
        </w:rPr>
      </w:pPr>
      <w:r>
        <w:rPr>
          <w:rFonts w:hint="eastAsia"/>
          <w:lang w:eastAsia="zh-CN"/>
        </w:rPr>
        <w:t>（</w:t>
      </w:r>
      <w:r>
        <w:rPr>
          <w:rFonts w:hint="eastAsia"/>
          <w:lang w:val="en-US" w:eastAsia="zh-CN"/>
        </w:rPr>
        <w:t>3</w:t>
      </w:r>
      <w:r>
        <w:rPr>
          <w:rFonts w:hint="eastAsia"/>
          <w:lang w:eastAsia="zh-CN"/>
        </w:rPr>
        <w:t>）</w:t>
      </w:r>
      <w:r>
        <w:t>最高人民法院知识产权法庭成立五周年100件典型案例</w:t>
      </w:r>
    </w:p>
    <w:p w14:paraId="3617AF63">
      <w:pPr>
        <w:bidi w:val="0"/>
        <w:rPr>
          <w:rFonts w:ascii="PingFangSC-light" w:hAnsi="PingFangSC-light" w:eastAsia="PingFangSC-light" w:cs="PingFangSC-light"/>
          <w:i w:val="0"/>
          <w:iCs w:val="0"/>
          <w:caps w:val="0"/>
          <w:color w:val="000000"/>
          <w:spacing w:val="20"/>
          <w:szCs w:val="21"/>
          <w:shd w:val="clear" w:fill="FFFFFF"/>
        </w:rPr>
      </w:pPr>
      <w:r>
        <w:t>为深入践行新时代能动司法理念，充分发挥典型案例指引作用，激励保障科技创新，加强知识产权保护，维护市场公平竞争，服务高水平对外开放，特从最高人民法院知识产权法庭成立五年来审结的15710件技术类知识产权和垄断案件中，评选出100件典型案例，现予发布。</w:t>
      </w:r>
    </w:p>
    <w:p w14:paraId="5EE6A00A">
      <w:pPr>
        <w:tabs>
          <w:tab w:val="right" w:pos="8306"/>
        </w:tabs>
        <w:ind w:firstLine="4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（编译自：https://mp.weixin.qq.com/s/jpSWZ6vtmGiGDX4pO3s5Yw）</w:t>
      </w:r>
    </w:p>
    <w:p w14:paraId="17017BE8">
      <w:pPr>
        <w:bidi w:val="0"/>
        <w:rPr>
          <w:rFonts w:hint="default"/>
        </w:rPr>
      </w:pPr>
      <w:r>
        <w:rPr>
          <w:rFonts w:hint="eastAsia"/>
          <w:lang w:eastAsia="zh-CN"/>
        </w:rPr>
        <w:t>（</w:t>
      </w:r>
      <w:r>
        <w:rPr>
          <w:rFonts w:hint="eastAsia"/>
          <w:lang w:val="en-US" w:eastAsia="zh-CN"/>
        </w:rPr>
        <w:t>4</w:t>
      </w:r>
      <w:r>
        <w:rPr>
          <w:rFonts w:hint="eastAsia"/>
          <w:lang w:eastAsia="zh-CN"/>
        </w:rPr>
        <w:t>）</w:t>
      </w:r>
      <w:r>
        <w:rPr>
          <w:lang w:val="en-US" w:eastAsia="zh-CN"/>
        </w:rPr>
        <w:t>中国法院作出全球首例生成式AI服务侵犯著作权的生效判决</w:t>
      </w:r>
    </w:p>
    <w:p w14:paraId="01552EED">
      <w:pPr>
        <w:bidi w:val="0"/>
      </w:pPr>
      <w:r>
        <w:rPr>
          <w:rFonts w:hint="eastAsia"/>
          <w:lang w:val="en-US" w:eastAsia="zh-CN"/>
        </w:rPr>
        <w:t>2024年2月</w:t>
      </w:r>
      <w:r>
        <w:t>广州互联网法院生效了一起生成式AI服务侵犯他人著作权判决，这也是全球范围内首例生成式AI服务侵犯他人著作权的生效判决。该判决认定被告（某人工智能公司）在提供生成式AI服务时侵犯了原告奥特曼作品的复制权和改编权，须承担民事责任，标志着我国在AI著作权保护方面取得创新性进展。</w:t>
      </w:r>
    </w:p>
    <w:p w14:paraId="6301CF76">
      <w:pPr>
        <w:keepNext w:val="0"/>
        <w:keepLines w:val="0"/>
        <w:pageBreakBefore w:val="0"/>
        <w:widowControl w:val="0"/>
        <w:kinsoku/>
        <w:wordWrap/>
        <w:overflowPunct/>
        <w:topLinePunct w:val="0"/>
        <w:autoSpaceDE/>
        <w:autoSpaceDN/>
        <w:bidi w:val="0"/>
        <w:adjustRightInd/>
        <w:snapToGrid/>
        <w:ind w:firstLine="440" w:firstLineChars="200"/>
        <w:jc w:val="right"/>
        <w:textAlignment w:val="auto"/>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begin"/>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instrText xml:space="preserve"> HYPERLINK "https://www.21jingji.com/article/" </w:instrTex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separate"/>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https://www.21jingji.com/article/</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end"/>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20240226/herald/133a6c2f9c0b045899e4dea</w:t>
      </w:r>
    </w:p>
    <w:p w14:paraId="541C1461">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10c5778eb.html）</w:t>
      </w:r>
    </w:p>
    <w:p w14:paraId="15A3B2DD">
      <w:pPr>
        <w:bidi w:val="0"/>
        <w:rPr>
          <w:rFonts w:hint="default"/>
        </w:rPr>
      </w:pPr>
      <w:r>
        <w:rPr>
          <w:rFonts w:hint="eastAsia"/>
          <w:lang w:eastAsia="zh-CN"/>
        </w:rPr>
        <w:t>（</w:t>
      </w:r>
      <w:r>
        <w:rPr>
          <w:rFonts w:hint="eastAsia"/>
          <w:lang w:val="en-US" w:eastAsia="zh-CN"/>
        </w:rPr>
        <w:t>5</w:t>
      </w:r>
      <w:r>
        <w:rPr>
          <w:rFonts w:hint="eastAsia"/>
          <w:lang w:eastAsia="zh-CN"/>
        </w:rPr>
        <w:t>）</w:t>
      </w:r>
      <w:r>
        <w:t>浙江：2024年知识产权强省建设工作联席会议全体成员会议召开</w:t>
      </w:r>
    </w:p>
    <w:p w14:paraId="5242378D">
      <w:pPr>
        <w:tabs>
          <w:tab w:val="right" w:pos="8306"/>
        </w:tabs>
        <w:ind w:firstLine="440"/>
        <w:contextualSpacing/>
        <w:jc w:val="left"/>
      </w:pPr>
      <w:r>
        <w:rPr>
          <w:rFonts w:hint="eastAsia"/>
          <w:lang w:val="en-US" w:eastAsia="zh-CN"/>
        </w:rPr>
        <w:t>2024年</w:t>
      </w:r>
      <w:r>
        <w:t>3月11日，</w:t>
      </w:r>
      <w:r>
        <w:rPr>
          <w:rFonts w:hint="eastAsia"/>
          <w:lang w:eastAsia="zh-CN"/>
        </w:rPr>
        <w:t>“</w:t>
      </w:r>
      <w:r>
        <w:t>2024年浙江省知识产权强省建设工作联席会议全体成员会议</w:t>
      </w:r>
      <w:r>
        <w:rPr>
          <w:rFonts w:hint="eastAsia"/>
          <w:lang w:eastAsia="zh-CN"/>
        </w:rPr>
        <w:t>”</w:t>
      </w:r>
      <w:r>
        <w:t>在杭州召开，浙江省政府副省长张雁云出席会议并讲话，29个联席会议成员单位领导及联络员参加会议。</w:t>
      </w:r>
    </w:p>
    <w:p w14:paraId="7EAE6722">
      <w:pPr>
        <w:tabs>
          <w:tab w:val="right" w:pos="8306"/>
        </w:tabs>
        <w:ind w:firstLine="440"/>
        <w:contextualSpacing/>
        <w:jc w:val="left"/>
        <w:rPr>
          <w:rFonts w:hint="eastAsia"/>
        </w:rPr>
      </w:pPr>
      <w:r>
        <w:rPr>
          <w:rFonts w:hint="eastAsia"/>
          <w:lang w:val="en-US" w:eastAsia="zh-CN"/>
        </w:rPr>
        <w:t>会议指出：</w:t>
      </w:r>
      <w:r>
        <w:rPr>
          <w:rFonts w:hint="eastAsia"/>
        </w:rPr>
        <w:t>要更加突出高质量创造</w:t>
      </w:r>
      <w:r>
        <w:rPr>
          <w:rFonts w:hint="eastAsia"/>
          <w:lang w:eastAsia="zh-CN"/>
        </w:rPr>
        <w:t>，</w:t>
      </w:r>
      <w:r>
        <w:rPr>
          <w:rFonts w:hint="eastAsia"/>
        </w:rPr>
        <w:t>为打造高水平创新型省份提供有力支撑。加快完善与科技创新相适应的知识产权创造体系</w:t>
      </w:r>
      <w:r>
        <w:rPr>
          <w:rFonts w:hint="eastAsia"/>
          <w:lang w:eastAsia="zh-CN"/>
        </w:rPr>
        <w:t>，</w:t>
      </w:r>
      <w:r>
        <w:rPr>
          <w:rFonts w:hint="eastAsia"/>
        </w:rPr>
        <w:t>做强企业科技创新主力军</w:t>
      </w:r>
      <w:r>
        <w:rPr>
          <w:rFonts w:hint="eastAsia"/>
          <w:lang w:eastAsia="zh-CN"/>
        </w:rPr>
        <w:t>，</w:t>
      </w:r>
      <w:r>
        <w:rPr>
          <w:rFonts w:hint="eastAsia"/>
        </w:rPr>
        <w:t>面向</w:t>
      </w:r>
      <w:r>
        <w:rPr>
          <w:rFonts w:hint="eastAsia"/>
          <w:lang w:eastAsia="zh-CN"/>
        </w:rPr>
        <w:t>“</w:t>
      </w:r>
      <w:r>
        <w:rPr>
          <w:rFonts w:hint="eastAsia"/>
        </w:rPr>
        <w:t>315</w:t>
      </w:r>
      <w:r>
        <w:rPr>
          <w:rFonts w:hint="eastAsia"/>
          <w:lang w:eastAsia="zh-CN"/>
        </w:rPr>
        <w:t>”</w:t>
      </w:r>
      <w:r>
        <w:rPr>
          <w:rFonts w:hint="eastAsia"/>
        </w:rPr>
        <w:t>科创体系建设、三大科创高地、</w:t>
      </w:r>
      <w:r>
        <w:rPr>
          <w:rFonts w:hint="eastAsia"/>
          <w:lang w:eastAsia="zh-CN"/>
        </w:rPr>
        <w:t>“</w:t>
      </w:r>
      <w:r>
        <w:rPr>
          <w:rFonts w:hint="eastAsia"/>
        </w:rPr>
        <w:t>415X</w:t>
      </w:r>
      <w:r>
        <w:rPr>
          <w:rFonts w:hint="eastAsia"/>
          <w:lang w:eastAsia="zh-CN"/>
        </w:rPr>
        <w:t>”</w:t>
      </w:r>
      <w:r>
        <w:rPr>
          <w:rFonts w:hint="eastAsia"/>
        </w:rPr>
        <w:t>先进制造业集群培育主战场</w:t>
      </w:r>
      <w:r>
        <w:rPr>
          <w:rFonts w:hint="eastAsia"/>
          <w:lang w:eastAsia="zh-CN"/>
        </w:rPr>
        <w:t>，</w:t>
      </w:r>
      <w:r>
        <w:rPr>
          <w:rFonts w:hint="eastAsia"/>
        </w:rPr>
        <w:t>打好关键核心技术攻关、高价值专利培育等主动仗</w:t>
      </w:r>
      <w:r>
        <w:rPr>
          <w:rFonts w:hint="eastAsia"/>
          <w:lang w:eastAsia="zh-CN"/>
        </w:rPr>
        <w:t>，</w:t>
      </w:r>
      <w:r>
        <w:rPr>
          <w:rFonts w:hint="eastAsia"/>
        </w:rPr>
        <w:t>抢占创新发展制高点。</w:t>
      </w:r>
    </w:p>
    <w:p w14:paraId="5378D833">
      <w:pPr>
        <w:tabs>
          <w:tab w:val="right" w:pos="8306"/>
        </w:tabs>
        <w:ind w:firstLine="440"/>
        <w:contextualSpacing/>
        <w:jc w:val="left"/>
        <w:rPr>
          <w:rFonts w:hint="eastAsia"/>
        </w:rPr>
      </w:pPr>
      <w:r>
        <w:rPr>
          <w:rFonts w:hint="eastAsia"/>
        </w:rPr>
        <w:t>要更加突出高效益运用</w:t>
      </w:r>
      <w:r>
        <w:rPr>
          <w:rFonts w:hint="eastAsia"/>
          <w:lang w:eastAsia="zh-CN"/>
        </w:rPr>
        <w:t>，</w:t>
      </w:r>
      <w:r>
        <w:rPr>
          <w:rFonts w:hint="eastAsia"/>
        </w:rPr>
        <w:t>为塑造区域竞争新优势增添强大动能</w:t>
      </w:r>
      <w:r>
        <w:rPr>
          <w:rFonts w:hint="eastAsia"/>
          <w:lang w:eastAsia="zh-CN"/>
        </w:rPr>
        <w:t>。</w:t>
      </w:r>
      <w:r>
        <w:rPr>
          <w:rFonts w:hint="eastAsia"/>
        </w:rPr>
        <w:t>全面落实专利转化运用专项行动</w:t>
      </w:r>
      <w:r>
        <w:rPr>
          <w:rFonts w:hint="eastAsia"/>
          <w:lang w:eastAsia="zh-CN"/>
        </w:rPr>
        <w:t>，</w:t>
      </w:r>
      <w:r>
        <w:rPr>
          <w:rFonts w:hint="eastAsia"/>
        </w:rPr>
        <w:t>增强优质技术供给</w:t>
      </w:r>
      <w:r>
        <w:rPr>
          <w:rFonts w:hint="eastAsia"/>
          <w:lang w:eastAsia="zh-CN"/>
        </w:rPr>
        <w:t>，</w:t>
      </w:r>
      <w:r>
        <w:rPr>
          <w:rFonts w:hint="eastAsia"/>
        </w:rPr>
        <w:t>强化科技金融赋能</w:t>
      </w:r>
      <w:r>
        <w:rPr>
          <w:rFonts w:hint="eastAsia"/>
          <w:lang w:eastAsia="zh-CN"/>
        </w:rPr>
        <w:t>，</w:t>
      </w:r>
      <w:r>
        <w:rPr>
          <w:rFonts w:hint="eastAsia"/>
        </w:rPr>
        <w:t>放大品牌叠加效应</w:t>
      </w:r>
      <w:r>
        <w:rPr>
          <w:rFonts w:hint="eastAsia"/>
          <w:lang w:eastAsia="zh-CN"/>
        </w:rPr>
        <w:t>，</w:t>
      </w:r>
      <w:r>
        <w:rPr>
          <w:rFonts w:hint="eastAsia"/>
        </w:rPr>
        <w:t>激活数据要素价值</w:t>
      </w:r>
      <w:r>
        <w:rPr>
          <w:rFonts w:hint="eastAsia"/>
          <w:lang w:eastAsia="zh-CN"/>
        </w:rPr>
        <w:t>，</w:t>
      </w:r>
      <w:r>
        <w:rPr>
          <w:rFonts w:hint="eastAsia"/>
        </w:rPr>
        <w:t>推动更多知识产权在运用中释放动能</w:t>
      </w:r>
      <w:r>
        <w:rPr>
          <w:rFonts w:hint="eastAsia"/>
          <w:lang w:eastAsia="zh-CN"/>
        </w:rPr>
        <w:t>，</w:t>
      </w:r>
      <w:r>
        <w:rPr>
          <w:rFonts w:hint="eastAsia"/>
        </w:rPr>
        <w:t>更好助力现代化产业体系培育。</w:t>
      </w:r>
    </w:p>
    <w:p w14:paraId="465A94ED">
      <w:pPr>
        <w:tabs>
          <w:tab w:val="right" w:pos="8306"/>
        </w:tabs>
        <w:ind w:firstLine="440"/>
        <w:contextualSpacing/>
        <w:jc w:val="left"/>
      </w:pPr>
      <w:r>
        <w:rPr>
          <w:rFonts w:hint="eastAsia"/>
        </w:rPr>
        <w:t>要更加突出高标准保护</w:t>
      </w:r>
      <w:r>
        <w:rPr>
          <w:rFonts w:hint="eastAsia"/>
          <w:lang w:eastAsia="zh-CN"/>
        </w:rPr>
        <w:t>，</w:t>
      </w:r>
      <w:r>
        <w:rPr>
          <w:rFonts w:hint="eastAsia"/>
        </w:rPr>
        <w:t>为充分释放创业创新活力营造良好环境。自觉扛起为创业创新保驾护航的政治责任</w:t>
      </w:r>
      <w:r>
        <w:rPr>
          <w:rFonts w:hint="eastAsia"/>
          <w:lang w:eastAsia="zh-CN"/>
        </w:rPr>
        <w:t>，</w:t>
      </w:r>
      <w:r>
        <w:rPr>
          <w:rFonts w:hint="eastAsia"/>
        </w:rPr>
        <w:t>实施知识产权</w:t>
      </w:r>
      <w:r>
        <w:rPr>
          <w:rFonts w:hint="eastAsia"/>
          <w:lang w:eastAsia="zh-CN"/>
        </w:rPr>
        <w:t>“</w:t>
      </w:r>
      <w:r>
        <w:rPr>
          <w:rFonts w:hint="eastAsia"/>
        </w:rPr>
        <w:t>快维权</w:t>
      </w:r>
      <w:r>
        <w:rPr>
          <w:rFonts w:hint="eastAsia"/>
          <w:lang w:eastAsia="zh-CN"/>
        </w:rPr>
        <w:t>”</w:t>
      </w:r>
      <w:r>
        <w:rPr>
          <w:rFonts w:hint="eastAsia"/>
        </w:rPr>
        <w:t>行动</w:t>
      </w:r>
      <w:r>
        <w:rPr>
          <w:rFonts w:hint="eastAsia"/>
          <w:lang w:eastAsia="zh-CN"/>
        </w:rPr>
        <w:t>，</w:t>
      </w:r>
      <w:r>
        <w:rPr>
          <w:rFonts w:hint="eastAsia"/>
        </w:rPr>
        <w:t>推进专利获权能力提升</w:t>
      </w:r>
      <w:r>
        <w:rPr>
          <w:rFonts w:hint="eastAsia"/>
          <w:lang w:eastAsia="zh-CN"/>
        </w:rPr>
        <w:t>，</w:t>
      </w:r>
      <w:r>
        <w:rPr>
          <w:rFonts w:hint="eastAsia"/>
        </w:rPr>
        <w:t>完善涉外知识产权风险防控体系</w:t>
      </w:r>
      <w:r>
        <w:rPr>
          <w:rFonts w:hint="eastAsia"/>
          <w:lang w:eastAsia="zh-CN"/>
        </w:rPr>
        <w:t>，</w:t>
      </w:r>
      <w:r>
        <w:rPr>
          <w:rFonts w:hint="eastAsia"/>
        </w:rPr>
        <w:t>不断提升保护效率</w:t>
      </w:r>
      <w:r>
        <w:rPr>
          <w:rFonts w:hint="eastAsia"/>
          <w:lang w:eastAsia="zh-CN"/>
        </w:rPr>
        <w:t>，</w:t>
      </w:r>
      <w:r>
        <w:rPr>
          <w:rFonts w:hint="eastAsia"/>
        </w:rPr>
        <w:t>优化营商环境和创新环境</w:t>
      </w:r>
      <w:r>
        <w:rPr>
          <w:rFonts w:hint="eastAsia"/>
          <w:lang w:eastAsia="zh-CN"/>
        </w:rPr>
        <w:t>，</w:t>
      </w:r>
      <w:r>
        <w:rPr>
          <w:rFonts w:hint="eastAsia"/>
        </w:rPr>
        <w:t>让创新者心无旁骛、创新活力竞相迸发。</w:t>
      </w:r>
    </w:p>
    <w:p w14:paraId="1750D406">
      <w:pPr>
        <w:tabs>
          <w:tab w:val="right" w:pos="8306"/>
        </w:tabs>
        <w:ind w:firstLine="4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（编译自：https://www.zj.gov.cn/art/2024/3/15/art_1554468_60202861.html）</w:t>
      </w:r>
    </w:p>
    <w:p w14:paraId="7D1F1433">
      <w:pPr>
        <w:bidi w:val="0"/>
        <w:jc w:val="both"/>
        <w:rPr>
          <w:rFonts w:hint="default"/>
        </w:rPr>
      </w:pPr>
      <w:r>
        <w:rPr>
          <w:rFonts w:hint="eastAsia"/>
          <w:lang w:eastAsia="zh-CN"/>
        </w:rPr>
        <w:t>（</w:t>
      </w:r>
      <w:r>
        <w:rPr>
          <w:rFonts w:hint="eastAsia"/>
          <w:lang w:val="en-US" w:eastAsia="zh-CN"/>
        </w:rPr>
        <w:t>6</w:t>
      </w:r>
      <w:r>
        <w:rPr>
          <w:rFonts w:hint="eastAsia"/>
          <w:lang w:eastAsia="zh-CN"/>
        </w:rPr>
        <w:t>）</w:t>
      </w:r>
      <w:r>
        <w:rPr>
          <w:rFonts w:hint="eastAsia"/>
          <w:lang w:val="en-US" w:eastAsia="zh-CN"/>
        </w:rPr>
        <w:t>杭州高新区（滨江）商标质押业务受理量居全国第一</w:t>
      </w:r>
    </w:p>
    <w:p w14:paraId="72AF95DC">
      <w:pPr>
        <w:tabs>
          <w:tab w:val="right" w:pos="8306"/>
        </w:tabs>
        <w:ind w:firstLine="440"/>
        <w:contextualSpacing/>
        <w:jc w:val="left"/>
        <w:rPr>
          <w:rFonts w:hint="default"/>
          <w:lang w:val="en-US" w:eastAsia="zh-CN"/>
        </w:rPr>
      </w:pPr>
      <w:r>
        <w:rPr>
          <w:rFonts w:hint="eastAsia"/>
          <w:lang w:val="en-US" w:eastAsia="zh-CN"/>
        </w:rPr>
        <w:t>2024年2月，国家知识产权局商标局公布2023年全年地方商标受理窗口受理量，国家知识产权局商标业务杭州高新区（滨江）受理窗口，2023年全年受理商标业务共79323件，其中商标注册申请2853件；商标质押窗口受理商标质押业务876件，质押金额202.195741亿元，质押业务数量在全国336个商标服务窗口中居第一位。</w:t>
      </w:r>
    </w:p>
    <w:p w14:paraId="3194918F">
      <w:pPr>
        <w:tabs>
          <w:tab w:val="right" w:pos="8306"/>
        </w:tabs>
        <w:ind w:firstLine="4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（编译自：http://www.chinahightech.com/html/yuanqu/qywh/2024/0220/5700972.html）</w:t>
      </w:r>
    </w:p>
    <w:bookmarkEnd w:id="57"/>
    <w:p w14:paraId="6CFC33C3">
      <w:pPr>
        <w:pStyle w:val="4"/>
        <w:numPr>
          <w:ilvl w:val="2"/>
          <w:numId w:val="1"/>
        </w:numPr>
        <w:ind w:firstLine="643"/>
        <w:rPr>
          <w:rFonts w:hint="default" w:ascii="Times New Roman" w:hAnsi="Times New Roman" w:cs="Times New Roman"/>
          <w:color w:val="000000" w:themeColor="text1"/>
          <w14:textFill>
            <w14:solidFill>
              <w14:schemeClr w14:val="tx1"/>
            </w14:solidFill>
          </w14:textFill>
        </w:rPr>
      </w:pPr>
      <w:bookmarkStart w:id="95" w:name="_Toc11992"/>
      <w:bookmarkStart w:id="96" w:name="_Toc1829"/>
      <w:bookmarkStart w:id="97" w:name="_Toc2396"/>
      <w:r>
        <w:rPr>
          <w:rFonts w:hint="default" w:ascii="Times New Roman" w:hAnsi="Times New Roman" w:cs="Times New Roman"/>
          <w:color w:val="000000" w:themeColor="text1"/>
          <w14:textFill>
            <w14:solidFill>
              <w14:schemeClr w14:val="tx1"/>
            </w14:solidFill>
          </w14:textFill>
        </w:rPr>
        <w:t>国外知识产权资讯</w:t>
      </w:r>
      <w:bookmarkEnd w:id="95"/>
      <w:bookmarkEnd w:id="96"/>
      <w:bookmarkEnd w:id="97"/>
    </w:p>
    <w:p w14:paraId="4B85D2DD">
      <w:pPr>
        <w:tabs>
          <w:tab w:val="right" w:pos="8306"/>
        </w:tabs>
        <w:ind w:firstLine="640"/>
        <w:contextualSpacing/>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第</w:t>
      </w:r>
      <w:r>
        <w:rPr>
          <w:rFonts w:hint="eastAsia"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季度</w:t>
      </w:r>
      <w:r>
        <w:rPr>
          <w:rFonts w:hint="default" w:ascii="Times New Roman" w:hAnsi="Times New Roman" w:cs="Times New Roman"/>
          <w:color w:val="000000" w:themeColor="text1"/>
          <w:szCs w:val="32"/>
          <w:lang w:val="en-US" w:eastAsia="zh-CN"/>
          <w14:textFill>
            <w14:solidFill>
              <w14:schemeClr w14:val="tx1"/>
            </w14:solidFill>
          </w14:textFill>
        </w:rPr>
        <w:t>国外</w:t>
      </w:r>
      <w:r>
        <w:rPr>
          <w:rFonts w:hint="default" w:ascii="Times New Roman" w:hAnsi="Times New Roman" w:cs="Times New Roman"/>
          <w:color w:val="000000" w:themeColor="text1"/>
          <w:szCs w:val="32"/>
          <w14:textFill>
            <w14:solidFill>
              <w14:schemeClr w14:val="tx1"/>
            </w14:solidFill>
          </w14:textFill>
        </w:rPr>
        <w:t>知识产权动态速览：</w:t>
      </w:r>
    </w:p>
    <w:p w14:paraId="67D88CCD">
      <w:pPr>
        <w:numPr>
          <w:ilvl w:val="0"/>
          <w:numId w:val="5"/>
        </w:numPr>
        <w:tabs>
          <w:tab w:val="right" w:pos="8306"/>
        </w:tabs>
        <w:ind w:firstLineChars="0"/>
        <w:contextualSpacing/>
        <w:jc w:val="left"/>
        <w:rPr>
          <w:rFonts w:hint="default"/>
        </w:rPr>
      </w:pPr>
      <w:r>
        <w:rPr>
          <w:rFonts w:hint="eastAsia"/>
        </w:rPr>
        <w:t>欧洲专利局发布2024年质量行动计划</w:t>
      </w:r>
    </w:p>
    <w:p w14:paraId="012BBDAB">
      <w:pPr>
        <w:numPr>
          <w:ilvl w:val="0"/>
          <w:numId w:val="5"/>
        </w:numPr>
        <w:tabs>
          <w:tab w:val="right" w:pos="8306"/>
        </w:tabs>
        <w:ind w:firstLineChars="0"/>
        <w:contextualSpacing/>
        <w:jc w:val="left"/>
        <w:rPr>
          <w:rFonts w:hint="default" w:ascii="Times New Roman" w:hAnsi="Times New Roman" w:cs="Times New Roman"/>
          <w:color w:val="000000" w:themeColor="text1"/>
          <w:szCs w:val="32"/>
          <w14:textFill>
            <w14:solidFill>
              <w14:schemeClr w14:val="tx1"/>
            </w14:solidFill>
          </w14:textFill>
        </w:rPr>
      </w:pPr>
      <w:r>
        <w:rPr>
          <w:rFonts w:hint="eastAsia"/>
        </w:rPr>
        <w:t>美国专利局和美国版权局公布关于不可替代代币（NFT）的联合研究报告</w:t>
      </w:r>
    </w:p>
    <w:p w14:paraId="16F434B5">
      <w:pPr>
        <w:numPr>
          <w:ilvl w:val="0"/>
          <w:numId w:val="8"/>
        </w:numPr>
        <w:bidi w:val="0"/>
        <w:ind w:left="420" w:leftChars="0" w:hanging="420" w:firstLineChars="0"/>
        <w:rPr>
          <w:rFonts w:hint="default"/>
        </w:rPr>
      </w:pPr>
      <w:r>
        <w:t>美国专利商标局发布专利公益报告</w:t>
      </w:r>
    </w:p>
    <w:p w14:paraId="6BB9D93D">
      <w:pPr>
        <w:numPr>
          <w:ilvl w:val="0"/>
          <w:numId w:val="8"/>
        </w:numPr>
        <w:bidi w:val="0"/>
        <w:ind w:left="420" w:leftChars="0" w:hanging="420" w:firstLineChars="0"/>
        <w:rPr>
          <w:rFonts w:hint="default"/>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韩国知识产权局就商标和外观设计制度发展趋势举行说明会</w:t>
      </w:r>
    </w:p>
    <w:p w14:paraId="3A2804BD">
      <w:pPr>
        <w:numPr>
          <w:ilvl w:val="0"/>
          <w:numId w:val="8"/>
        </w:numPr>
        <w:bidi w:val="0"/>
        <w:ind w:left="420" w:leftChars="0" w:hanging="420" w:firstLineChars="0"/>
        <w:rPr>
          <w:rFonts w:hint="default"/>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韩国知识产权局成立斋别市场假冒商品调查委员会</w:t>
      </w:r>
    </w:p>
    <w:p w14:paraId="327E3DAD">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欧洲专利局发布2024年质量行动计划</w:t>
      </w:r>
    </w:p>
    <w:p w14:paraId="59E3E958">
      <w:pPr>
        <w:bidi w:val="0"/>
      </w:pPr>
      <w:r>
        <w:t>2024年3月18日，欧洲专利局（EPO）首次公布了其《2024年质量行动计划》，确定了有针对性的行动，以进一步提高在专利授权程序（PGP）各个阶段的产品和服务质量，加强与用户的对话，并加强从上诉委员会的结果中学习。</w:t>
      </w:r>
    </w:p>
    <w:p w14:paraId="188554A3">
      <w:pPr>
        <w:bidi w:val="0"/>
        <w:rPr>
          <w:rFonts w:hint="eastAsia"/>
        </w:rPr>
      </w:pPr>
      <w:r>
        <w:rPr>
          <w:rFonts w:hint="eastAsia"/>
        </w:rPr>
        <w:t>根据</w:t>
      </w:r>
      <w:r>
        <w:rPr>
          <w:rFonts w:hint="eastAsia"/>
          <w:lang w:val="en-US" w:eastAsia="zh-CN"/>
        </w:rPr>
        <w:t>相关消息</w:t>
      </w:r>
      <w:r>
        <w:rPr>
          <w:rFonts w:hint="eastAsia"/>
        </w:rPr>
        <w:t>，这些行动包括在质量工作组框架内举办研讨会，以及在PGP审查阶段对第三方意见进行监督。质量行动计划还将制定新的绩效指标，以跟踪欧洲专利局的决定被申诉委员会推翻的比率，并推动采取措施，维护审查和异议程序的法律确定性和稳健性。</w:t>
      </w:r>
    </w:p>
    <w:p w14:paraId="2C6227AC">
      <w:pPr>
        <w:tabs>
          <w:tab w:val="right" w:pos="8306"/>
        </w:tabs>
        <w:ind w:left="0" w:leftChars="0" w:firstLine="0" w:firstLineChars="0"/>
        <w:contextualSpacing/>
        <w:jc w:val="right"/>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pP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begin"/>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instrText xml:space="preserve"> HYPERLINK "https://www.epo.org/en/news-events/news/quality-action-plan-2024）" </w:instrTex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separate"/>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https://www.epo.org/en/news-events/news/quality-action-plan-2024）</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end"/>
      </w:r>
    </w:p>
    <w:p w14:paraId="1A2686B6">
      <w:pPr>
        <w:bidi w:val="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美国专利局和美国版权局公布关于不可替代代币（NFT）的联合研究报告</w:t>
      </w:r>
    </w:p>
    <w:p w14:paraId="4AAAAC1F">
      <w:pPr>
        <w:bidi w:val="0"/>
      </w:pPr>
      <w:r>
        <w:t>2024年3月12日，美国专利局和美国版权局公布了关于知识产权法律和不可替代代币（NFT）政策影响的联合研究结果。在联合研究期间，这些办公室通过调查征求公众意见，举行了三次公开圆桌会议，并审查了现有的文献和判例法。报告肯定评论者的观点，即NFT可能会使艺术家能够获得其作品下游转售的报酬，帮助商标所有者扩大其品牌吸引力，并在知识产权的管理、转让和许可方面发挥作用。</w:t>
      </w:r>
    </w:p>
    <w:p w14:paraId="1F2ECB0A">
      <w:pPr>
        <w:bidi w:val="0"/>
        <w:rPr>
          <w:rFonts w:hint="eastAsia"/>
        </w:rPr>
      </w:pPr>
      <w:r>
        <w:rPr>
          <w:rFonts w:hint="eastAsia"/>
        </w:rPr>
        <w:t>报告得出结论，现有法定执行机制足以解决与NFT申请相关的侵权问题，目前修订知识产权法或有关局的登记注册制度是没有必要的。相反，公共教育倡议和产品透明度在提高对NFT的认识和理解方面发挥着重要作用。</w:t>
      </w:r>
    </w:p>
    <w:p w14:paraId="77E0CC4F">
      <w:pPr>
        <w:tabs>
          <w:tab w:val="right" w:pos="8306"/>
        </w:tabs>
        <w:ind w:left="0" w:leftChars="0" w:firstLine="440" w:firstLineChars="20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begin"/>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instrText xml:space="preserve"> HYPERLINK "https://www.uspto.gov/about-us/news-updates/us-patent-and-trademark-" </w:instrTex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separate"/>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https://www.uspto.gov/about-us/news-updates/us-patent-and-trademark-</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end"/>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Offi</w:t>
      </w:r>
    </w:p>
    <w:p w14:paraId="6CA3F0B9">
      <w:pPr>
        <w:tabs>
          <w:tab w:val="right" w:pos="8306"/>
        </w:tabs>
        <w:ind w:left="0" w:leftChars="0" w:firstLine="0" w:firstLineChars="0"/>
        <w:contextualSpacing/>
        <w:jc w:val="lef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ce-and-us-copyright-office-conclude-joint-study</w:t>
      </w: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p>
    <w:p w14:paraId="0FBA7EC5">
      <w:pPr>
        <w:bidi w:val="0"/>
        <w:rPr>
          <w:rFonts w:hint="default"/>
        </w:rPr>
      </w:pPr>
      <w:r>
        <w:rPr>
          <w:rFonts w:hint="eastAsia"/>
          <w:lang w:eastAsia="zh-CN"/>
        </w:rPr>
        <w:t>（</w:t>
      </w:r>
      <w:r>
        <w:rPr>
          <w:rFonts w:hint="eastAsia"/>
          <w:lang w:val="en-US" w:eastAsia="zh-CN"/>
        </w:rPr>
        <w:t>3</w:t>
      </w:r>
      <w:r>
        <w:rPr>
          <w:rFonts w:hint="eastAsia"/>
          <w:lang w:eastAsia="zh-CN"/>
        </w:rPr>
        <w:t>）</w:t>
      </w:r>
      <w:r>
        <w:t>美国专利商标局发布专利公益报告</w:t>
      </w:r>
    </w:p>
    <w:p w14:paraId="589FCB0F">
      <w:pPr>
        <w:bidi w:val="0"/>
      </w:pPr>
      <w:r>
        <w:t>美国专利商标局（USPTO）于2024年1月30日根据《2022年释放美国创新者法案》（Unleashing American Innovators Act of 2022，以下简称UAIA）的要求向国会发布了一份报告，对专利公益项目的健康状况和功能进行了评估。研究发现，专利公益项目成功地将专利制度的使用权扩展到了资金不足的独立发明人和小企业，2015-2022年间，专利律师志愿者和非律师倡导者（专利代理人）共捐赠了3930多万美元。</w:t>
      </w:r>
    </w:p>
    <w:p w14:paraId="62947683">
      <w:pPr>
        <w:bidi w:val="0"/>
        <w:rPr>
          <w:rFonts w:hint="default"/>
        </w:rPr>
      </w:pPr>
      <w:r>
        <w:rPr>
          <w:rFonts w:hint="eastAsia"/>
        </w:rPr>
        <w:t>该研究的亮点包括：1、将公益预算增加近一倍。USPTO积极主动地将2023年的计划预算翻了一番，从68万美元增至约120万美元，这标志着美国专利商标局加大了对公益计划的投入，以加强美国的创新能力。2、加强宣传和推广。在过去几年中，咨询专利公益计划的人数逐年增加，其中2021-2022年间猛增6%。3、非律师倡导者的重点参与。约23%的专利公益申请由注册专利代理人提交。4、继续提高财务筛选门槛。限制发明人参与的主要条件是地区专利公益计划的财务筛选要求，USPTO正在与这些计划合作，在可行的情况下，将门槛提高到家庭总收入不超过UAIA规定的联邦贫困线的400%。</w:t>
      </w:r>
    </w:p>
    <w:p w14:paraId="27865BC2">
      <w:pPr>
        <w:tabs>
          <w:tab w:val="right" w:pos="8306"/>
        </w:tabs>
        <w:ind w:firstLine="56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编译自：https://www.uspto.gov/about-us/news-updates/patent-pro-bono-report-over-3</w:t>
      </w:r>
    </w:p>
    <w:p w14:paraId="4918F77A">
      <w:pPr>
        <w:tabs>
          <w:tab w:val="right" w:pos="8306"/>
        </w:tabs>
        <w:ind w:left="0" w:leftChars="0" w:firstLine="0" w:firstLineChars="0"/>
        <w:contextualSpacing/>
        <w:jc w:val="both"/>
        <w:rPr>
          <w:rFonts w:hint="eastAsia" w:ascii="Times New Roman" w:hAnsi="Times New Roman" w:eastAsia="方正仿宋_GB2312" w:cs="Times New Roman"/>
          <w:color w:val="000000" w:themeColor="text1"/>
          <w:spacing w:val="5"/>
          <w:sz w:val="21"/>
          <w:szCs w:val="21"/>
          <w:shd w:val="clear" w:color="auto" w:fill="FFFFFF"/>
          <w:lang w:eastAsia="zh-CN"/>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93-million-donated-free-legal-services-inventors</w:t>
      </w: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p>
    <w:p w14:paraId="781CE72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lang w:val="en-US" w:eastAsia="zh-CN"/>
        </w:rPr>
      </w:pPr>
      <w:r>
        <w:rPr>
          <w:rFonts w:hint="eastAsia"/>
          <w:lang w:val="en-US" w:eastAsia="zh-CN"/>
        </w:rPr>
        <w:t>（4）</w:t>
      </w:r>
      <w:r>
        <w:rPr>
          <w:rFonts w:hint="default"/>
          <w:lang w:val="en-US" w:eastAsia="zh-CN"/>
        </w:rPr>
        <w:t>韩国知识产权局就商标和外观设计制度的发展趋势举行说明会</w:t>
      </w:r>
    </w:p>
    <w:p w14:paraId="4EA30D3D">
      <w:pPr>
        <w:bidi w:val="0"/>
        <w:rPr>
          <w:rFonts w:hint="default"/>
        </w:rPr>
      </w:pPr>
      <w:r>
        <w:t>韩国知识产权局（KIPO</w:t>
      </w:r>
      <w:r>
        <w:rPr>
          <w:rFonts w:hint="eastAsia"/>
          <w:lang w:eastAsia="zh-CN"/>
        </w:rPr>
        <w:t>）</w:t>
      </w:r>
      <w:r>
        <w:rPr>
          <w:rFonts w:hint="eastAsia"/>
        </w:rPr>
        <w:t>于</w:t>
      </w:r>
      <w:r>
        <w:rPr>
          <w:rFonts w:hint="eastAsia"/>
          <w:lang w:val="en-US" w:eastAsia="zh-CN"/>
        </w:rPr>
        <w:t>2024年</w:t>
      </w:r>
      <w:r>
        <w:rPr>
          <w:rFonts w:hint="default"/>
        </w:rPr>
        <w:t>1</w:t>
      </w:r>
      <w:r>
        <w:rPr>
          <w:rFonts w:hint="eastAsia"/>
        </w:rPr>
        <w:t>月</w:t>
      </w:r>
      <w:r>
        <w:rPr>
          <w:rFonts w:hint="default"/>
        </w:rPr>
        <w:t>25</w:t>
      </w:r>
      <w:r>
        <w:rPr>
          <w:rFonts w:hint="eastAsia"/>
        </w:rPr>
        <w:t>日在韩国知识产权中心举行</w:t>
      </w:r>
      <w:r>
        <w:rPr>
          <w:rFonts w:hint="eastAsia"/>
          <w:lang w:eastAsia="zh-CN"/>
        </w:rPr>
        <w:t>“</w:t>
      </w:r>
      <w:r>
        <w:rPr>
          <w:rFonts w:hint="default"/>
        </w:rPr>
        <w:t>2024</w:t>
      </w:r>
      <w:r>
        <w:rPr>
          <w:rFonts w:hint="eastAsia"/>
        </w:rPr>
        <w:t>年商标和外观设计制度动向</w:t>
      </w:r>
      <w:r>
        <w:rPr>
          <w:rFonts w:hint="eastAsia"/>
          <w:lang w:eastAsia="zh-CN"/>
        </w:rPr>
        <w:t>”</w:t>
      </w:r>
      <w:r>
        <w:rPr>
          <w:rFonts w:hint="eastAsia"/>
        </w:rPr>
        <w:t>说明会，重点介绍修订后的商标和外观设计制度。说明会介绍商标共存协议制度、虚拟服务分类标准等商标制度的改进，以及新颖性丧失例外的扩大、优先权要求的简化等外观设计制度的变化。</w:t>
      </w:r>
    </w:p>
    <w:p w14:paraId="456A154E">
      <w:pPr>
        <w:tabs>
          <w:tab w:val="right" w:pos="8306"/>
        </w:tabs>
        <w:ind w:firstLine="44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（编译自：https://www.kipo.go.kr/ko/kpoBultnDetail.do?menuCd=SCD0200618&amp;ntatcSeq</w:t>
      </w:r>
    </w:p>
    <w:p w14:paraId="14213651">
      <w:pPr>
        <w:tabs>
          <w:tab w:val="right" w:pos="8306"/>
        </w:tabs>
        <w:ind w:left="0" w:leftChars="0" w:firstLine="0" w:firstLineChars="0"/>
        <w:contextualSpacing/>
        <w:jc w:val="lef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=20001&amp;sysCd=SCD02&amp;aprchId=BUT0000029）</w:t>
      </w:r>
    </w:p>
    <w:p w14:paraId="78EDB612">
      <w:pPr>
        <w:bidi w:val="0"/>
        <w:rPr>
          <w:rFonts w:hint="eastAsia"/>
          <w:lang w:val="en-US" w:eastAsia="zh-CN"/>
        </w:rPr>
      </w:pPr>
      <w:r>
        <w:rPr>
          <w:rFonts w:hint="eastAsia"/>
          <w:lang w:val="en-US" w:eastAsia="zh-CN"/>
        </w:rPr>
        <w:t>（5）韩国知识产权局成立斋别市场假冒商品调查委员会</w:t>
      </w:r>
    </w:p>
    <w:p w14:paraId="3AB58475">
      <w:pPr>
        <w:bidi w:val="0"/>
        <w:rPr>
          <w:rFonts w:hint="eastAsia"/>
        </w:rPr>
      </w:pPr>
      <w:r>
        <w:rPr>
          <w:rFonts w:hint="eastAsia"/>
          <w:lang w:val="en-US" w:eastAsia="zh-CN"/>
        </w:rPr>
        <w:t>2024年</w:t>
      </w:r>
      <w:r>
        <w:rPr>
          <w:rFonts w:hint="eastAsia"/>
        </w:rPr>
        <w:t>3月16日，韩国知识产权局、首尔市政府、首尔中区厅和首尔中央警察厅联合组成</w:t>
      </w:r>
      <w:r>
        <w:rPr>
          <w:rFonts w:hint="eastAsia"/>
          <w:lang w:eastAsia="zh-CN"/>
        </w:rPr>
        <w:t>“</w:t>
      </w:r>
      <w:r>
        <w:rPr>
          <w:rFonts w:hint="eastAsia"/>
        </w:rPr>
        <w:t>斋别市场假冒商品调查组</w:t>
      </w:r>
      <w:r>
        <w:rPr>
          <w:rFonts w:hint="eastAsia"/>
          <w:lang w:eastAsia="zh-CN"/>
        </w:rPr>
        <w:t>”</w:t>
      </w:r>
      <w:r>
        <w:rPr>
          <w:rFonts w:hint="eastAsia"/>
        </w:rPr>
        <w:t>（以下简称</w:t>
      </w:r>
      <w:r>
        <w:rPr>
          <w:rFonts w:hint="eastAsia"/>
          <w:lang w:eastAsia="zh-CN"/>
        </w:rPr>
        <w:t>“</w:t>
      </w:r>
      <w:r>
        <w:rPr>
          <w:rFonts w:hint="eastAsia"/>
        </w:rPr>
        <w:t>调查组</w:t>
      </w:r>
      <w:r>
        <w:rPr>
          <w:rFonts w:hint="eastAsia"/>
          <w:lang w:eastAsia="zh-CN"/>
        </w:rPr>
        <w:t>”</w:t>
      </w:r>
      <w:r>
        <w:rPr>
          <w:rFonts w:hint="eastAsia"/>
        </w:rPr>
        <w:t>）在首尔东大门的</w:t>
      </w:r>
      <w:r>
        <w:rPr>
          <w:rFonts w:hint="eastAsia"/>
          <w:lang w:eastAsia="zh-CN"/>
        </w:rPr>
        <w:t>“</w:t>
      </w:r>
      <w:r>
        <w:rPr>
          <w:rFonts w:hint="eastAsia"/>
        </w:rPr>
        <w:t>斋别市场</w:t>
      </w:r>
      <w:r>
        <w:rPr>
          <w:rFonts w:hint="eastAsia"/>
          <w:lang w:eastAsia="zh-CN"/>
        </w:rPr>
        <w:t>”</w:t>
      </w:r>
      <w:r>
        <w:rPr>
          <w:rFonts w:hint="eastAsia"/>
        </w:rPr>
        <w:t>进行联合打击，查获854件假冒奢侈品牌的商品。</w:t>
      </w:r>
    </w:p>
    <w:p w14:paraId="06FB81F7">
      <w:pPr>
        <w:bidi w:val="0"/>
        <w:rPr>
          <w:rFonts w:hint="eastAsia"/>
        </w:rPr>
      </w:pPr>
      <w:r>
        <w:rPr>
          <w:rFonts w:hint="eastAsia"/>
        </w:rPr>
        <w:t>与此同时，韩国知识产权局还在现场利用告示牌和标语开展宣传活动，向游客和市民宣传销售假冒商品的违法行为。</w:t>
      </w:r>
    </w:p>
    <w:p w14:paraId="6E61DBF6">
      <w:pPr>
        <w:bidi w:val="0"/>
        <w:rPr>
          <w:rFonts w:hint="default"/>
          <w:lang w:val="en-US" w:eastAsia="zh-CN"/>
        </w:rPr>
      </w:pPr>
      <w:r>
        <w:rPr>
          <w:rFonts w:hint="eastAsia"/>
        </w:rPr>
        <w:t>韩国知识产权局各调查机关将继续对斋别市场进行专项打击，并通过电话（热线）在内部汇报打击结果，如果摊主因商标侵权被处以罚款以上的处罚，将把结果反馈给首尔中央区厅，以便注销该摊主的许可证。</w:t>
      </w:r>
    </w:p>
    <w:p w14:paraId="0742ED42">
      <w:pPr>
        <w:tabs>
          <w:tab w:val="right" w:pos="8306"/>
        </w:tabs>
        <w:ind w:left="0" w:leftChars="0" w:firstLine="440" w:firstLineChars="200"/>
        <w:contextualSpacing/>
        <w:jc w:val="right"/>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pPr>
      <w:r>
        <w:rPr>
          <w:rFonts w:hint="default" w:ascii="Times New Roman" w:hAnsi="Times New Roman" w:eastAsia="方正仿宋_GB2312" w:cs="Times New Roman"/>
          <w:color w:val="000000" w:themeColor="text1"/>
          <w:spacing w:val="5"/>
          <w:sz w:val="21"/>
          <w:szCs w:val="21"/>
          <w:shd w:val="clear" w:color="auto" w:fill="FFFFFF"/>
          <w14:textFill>
            <w14:solidFill>
              <w14:schemeClr w14:val="tx1"/>
            </w14:solidFill>
          </w14:textFill>
        </w:rPr>
        <w: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编译自：</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begin"/>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instrText xml:space="preserve"> HYPERLINK "https://www.epo.org/en/news-events/news/quality-action-plan-2024）" </w:instrTex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separate"/>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https://mp.weixin.qq.com/s/mftg3aWTvUDa-P0mE0qnSw?version=4.1.22.6014&amp;</w:t>
      </w:r>
    </w:p>
    <w:p w14:paraId="10A0534A">
      <w:pPr>
        <w:tabs>
          <w:tab w:val="right" w:pos="8306"/>
        </w:tabs>
        <w:ind w:left="0" w:leftChars="0" w:firstLine="0" w:firstLineChars="0"/>
        <w:contextualSpacing/>
        <w:jc w:val="left"/>
        <w:rPr>
          <w:rFonts w:hint="eastAsia"/>
          <w:lang w:eastAsia="zh-CN"/>
        </w:rPr>
      </w:pP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t>platform=win&amp;nwr_flag=1#wechat_redirect）</w:t>
      </w:r>
      <w:r>
        <w:rPr>
          <w:rFonts w:hint="default" w:ascii="Times New Roman" w:hAnsi="Times New Roman" w:eastAsia="方正仿宋_GB2312" w:cs="Times New Roman"/>
          <w:color w:val="000000" w:themeColor="text1"/>
          <w:spacing w:val="5"/>
          <w:kern w:val="0"/>
          <w:sz w:val="21"/>
          <w:szCs w:val="21"/>
          <w:shd w:val="clear" w:color="auto" w:fill="FFFFFF"/>
          <w:lang w:bidi="ar"/>
          <w14:textFill>
            <w14:solidFill>
              <w14:schemeClr w14:val="tx1"/>
            </w14:solidFill>
          </w14:textFill>
        </w:rPr>
        <w:fldChar w:fldCharType="end"/>
      </w:r>
    </w:p>
    <w:sectPr>
      <w:footerReference r:id="rId7" w:type="default"/>
      <w:pgSz w:w="11906" w:h="16838"/>
      <w:pgMar w:top="1701" w:right="1587" w:bottom="1701" w:left="1587" w:header="851"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7F9B2B6-B655-433E-A67B-BF4B5DA255AD}"/>
  </w:font>
  <w:font w:name="楷体_GB2312">
    <w:panose1 w:val="02010609030101010101"/>
    <w:charset w:val="86"/>
    <w:family w:val="modern"/>
    <w:pitch w:val="default"/>
    <w:sig w:usb0="00000001" w:usb1="080E0000" w:usb2="00000000" w:usb3="00000000" w:csb0="00040000" w:csb1="00000000"/>
    <w:embedRegular r:id="rId2" w:fontKey="{DDA075DE-BD24-438B-B64E-36B0106A2DA3}"/>
  </w:font>
  <w:font w:name="方正小标宋简体">
    <w:panose1 w:val="03000509000000000000"/>
    <w:charset w:val="86"/>
    <w:family w:val="script"/>
    <w:pitch w:val="default"/>
    <w:sig w:usb0="00000001" w:usb1="080E0000" w:usb2="00000000" w:usb3="00000000" w:csb0="00040000" w:csb1="00000000"/>
    <w:embedRegular r:id="rId3" w:fontKey="{F308DCF7-223C-463D-837A-ADB0EA443D46}"/>
  </w:font>
  <w:font w:name="等线">
    <w:panose1 w:val="02010600030101010101"/>
    <w:charset w:val="86"/>
    <w:family w:val="auto"/>
    <w:pitch w:val="default"/>
    <w:sig w:usb0="A00002BF" w:usb1="38CF7CFA" w:usb2="00000016" w:usb3="00000000" w:csb0="0004000F" w:csb1="00000000"/>
    <w:embedRegular r:id="rId4" w:fontKey="{8F46E82D-FE55-4326-96FA-159009C8EB17}"/>
  </w:font>
  <w:font w:name="方正仿宋_GB2312">
    <w:altName w:val="仿宋"/>
    <w:panose1 w:val="02000000000000000000"/>
    <w:charset w:val="86"/>
    <w:family w:val="auto"/>
    <w:pitch w:val="default"/>
    <w:sig w:usb0="00000000" w:usb1="00000000" w:usb2="00000012" w:usb3="00000000" w:csb0="00040001" w:csb1="00000000"/>
    <w:embedRegular r:id="rId5" w:fontKey="{99CB7D9D-AB0E-4358-97C5-5E311F4F85CE}"/>
  </w:font>
  <w:font w:name="PingFangSC-light">
    <w:altName w:val="Segoe Print"/>
    <w:panose1 w:val="00000000000000000000"/>
    <w:charset w:val="00"/>
    <w:family w:val="auto"/>
    <w:pitch w:val="default"/>
    <w:sig w:usb0="00000000" w:usb1="00000000" w:usb2="00000000" w:usb3="00000000" w:csb0="00000000" w:csb1="00000000"/>
    <w:embedRegular r:id="rId6" w:fontKey="{3AC21F1C-61DC-4D7A-B4D3-A995A30AF59C}"/>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E0D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256578"/>
    </w:sdtPr>
    <w:sdtContent>
      <w:p w14:paraId="1B020EED">
        <w:pPr>
          <w:pStyle w:val="14"/>
          <w:jc w:val="center"/>
        </w:pPr>
        <w:r>
          <w:fldChar w:fldCharType="begin"/>
        </w:r>
        <w:r>
          <w:instrText xml:space="preserve">PAGE   \* MERGEFORMAT</w:instrText>
        </w:r>
        <w:r>
          <w:fldChar w:fldCharType="separate"/>
        </w:r>
        <w:r>
          <w:rPr>
            <w:lang w:val="zh-CN"/>
          </w:rPr>
          <w:t>2</w:t>
        </w:r>
        <w:r>
          <w:fldChar w:fldCharType="end"/>
        </w:r>
      </w:p>
    </w:sdtContent>
  </w:sdt>
  <w:p w14:paraId="00A04A7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5A09">
    <w:pPr>
      <w:pStyle w:val="15"/>
      <w:ind w:firstLine="0" w:firstLineChars="0"/>
      <w:jc w:val="both"/>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67ADE"/>
    <w:multiLevelType w:val="singleLevel"/>
    <w:tmpl w:val="8FA67ADE"/>
    <w:lvl w:ilvl="0" w:tentative="0">
      <w:start w:val="1"/>
      <w:numFmt w:val="bullet"/>
      <w:suff w:val="nothing"/>
      <w:lvlText w:val=""/>
      <w:lvlJc w:val="left"/>
      <w:pPr>
        <w:ind w:left="420" w:hanging="420"/>
      </w:pPr>
      <w:rPr>
        <w:rFonts w:hint="default" w:ascii="Wingdings" w:hAnsi="Wingdings"/>
      </w:rPr>
    </w:lvl>
  </w:abstractNum>
  <w:abstractNum w:abstractNumId="1">
    <w:nsid w:val="A9E8D862"/>
    <w:multiLevelType w:val="singleLevel"/>
    <w:tmpl w:val="A9E8D862"/>
    <w:lvl w:ilvl="0" w:tentative="0">
      <w:start w:val="1"/>
      <w:numFmt w:val="bullet"/>
      <w:suff w:val="nothing"/>
      <w:lvlText w:val=""/>
      <w:lvlJc w:val="left"/>
      <w:pPr>
        <w:ind w:left="420" w:hanging="420"/>
      </w:pPr>
      <w:rPr>
        <w:rFonts w:hint="default" w:ascii="Wingdings" w:hAnsi="Wingdings"/>
      </w:rPr>
    </w:lvl>
  </w:abstractNum>
  <w:abstractNum w:abstractNumId="2">
    <w:nsid w:val="EFE181EE"/>
    <w:multiLevelType w:val="singleLevel"/>
    <w:tmpl w:val="EFE181EE"/>
    <w:lvl w:ilvl="0" w:tentative="0">
      <w:start w:val="1"/>
      <w:numFmt w:val="bullet"/>
      <w:suff w:val="nothing"/>
      <w:lvlText w:val=""/>
      <w:lvlJc w:val="left"/>
      <w:pPr>
        <w:ind w:left="420" w:hanging="420"/>
      </w:pPr>
      <w:rPr>
        <w:rFonts w:hint="default" w:ascii="Wingdings" w:hAnsi="Wingdings"/>
      </w:rPr>
    </w:lvl>
  </w:abstractNum>
  <w:abstractNum w:abstractNumId="3">
    <w:nsid w:val="F2FCBB0D"/>
    <w:multiLevelType w:val="singleLevel"/>
    <w:tmpl w:val="F2FCBB0D"/>
    <w:lvl w:ilvl="0" w:tentative="0">
      <w:start w:val="1"/>
      <w:numFmt w:val="bullet"/>
      <w:suff w:val="nothing"/>
      <w:lvlText w:val=""/>
      <w:lvlJc w:val="left"/>
      <w:pPr>
        <w:ind w:left="420" w:hanging="420"/>
      </w:pPr>
      <w:rPr>
        <w:rFonts w:hint="default" w:ascii="Wingdings" w:hAnsi="Wingdings"/>
      </w:rPr>
    </w:lvl>
  </w:abstractNum>
  <w:abstractNum w:abstractNumId="4">
    <w:nsid w:val="3255DA9C"/>
    <w:multiLevelType w:val="singleLevel"/>
    <w:tmpl w:val="3255DA9C"/>
    <w:lvl w:ilvl="0" w:tentative="0">
      <w:start w:val="1"/>
      <w:numFmt w:val="decimal"/>
      <w:suff w:val="nothing"/>
      <w:lvlText w:val="（%1）"/>
      <w:lvlJc w:val="left"/>
    </w:lvl>
  </w:abstractNum>
  <w:abstractNum w:abstractNumId="5">
    <w:nsid w:val="36FFD603"/>
    <w:multiLevelType w:val="singleLevel"/>
    <w:tmpl w:val="36FFD603"/>
    <w:lvl w:ilvl="0" w:tentative="0">
      <w:start w:val="1"/>
      <w:numFmt w:val="chineseCounting"/>
      <w:suff w:val="nothing"/>
      <w:lvlText w:val="（%1）"/>
      <w:lvlJc w:val="left"/>
      <w:rPr>
        <w:rFonts w:hint="eastAsia"/>
      </w:rPr>
    </w:lvl>
  </w:abstractNum>
  <w:abstractNum w:abstractNumId="6">
    <w:nsid w:val="3E7C1DEB"/>
    <w:multiLevelType w:val="multilevel"/>
    <w:tmpl w:val="3E7C1DE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7">
    <w:nsid w:val="52323D93"/>
    <w:multiLevelType w:val="singleLevel"/>
    <w:tmpl w:val="52323D93"/>
    <w:lvl w:ilvl="0" w:tentative="0">
      <w:start w:val="1"/>
      <w:numFmt w:val="bullet"/>
      <w:suff w:val="nothing"/>
      <w:lvlText w:val=""/>
      <w:lvlJc w:val="left"/>
      <w:pPr>
        <w:ind w:left="420" w:hanging="420"/>
      </w:pPr>
      <w:rPr>
        <w:rFonts w:hint="default" w:ascii="Wingdings" w:hAnsi="Wingdings"/>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jBmNWE0NzA4NjJhNjM3OWRiZjQ5YjljMzk3ZWIifQ=="/>
  </w:docVars>
  <w:rsids>
    <w:rsidRoot w:val="001A6F2F"/>
    <w:rsid w:val="00002224"/>
    <w:rsid w:val="00015DDC"/>
    <w:rsid w:val="000234BD"/>
    <w:rsid w:val="00023D4C"/>
    <w:rsid w:val="0006145C"/>
    <w:rsid w:val="00065081"/>
    <w:rsid w:val="00091E68"/>
    <w:rsid w:val="00093E6A"/>
    <w:rsid w:val="00125861"/>
    <w:rsid w:val="00132263"/>
    <w:rsid w:val="001428A3"/>
    <w:rsid w:val="001A6F2F"/>
    <w:rsid w:val="001B5A66"/>
    <w:rsid w:val="001E11AA"/>
    <w:rsid w:val="00236D60"/>
    <w:rsid w:val="002506F5"/>
    <w:rsid w:val="00274C50"/>
    <w:rsid w:val="003072BF"/>
    <w:rsid w:val="0031352E"/>
    <w:rsid w:val="00363A97"/>
    <w:rsid w:val="003947FD"/>
    <w:rsid w:val="00397E8F"/>
    <w:rsid w:val="003D2F1F"/>
    <w:rsid w:val="003E7730"/>
    <w:rsid w:val="004057A6"/>
    <w:rsid w:val="00415CE6"/>
    <w:rsid w:val="004729E6"/>
    <w:rsid w:val="00493AFE"/>
    <w:rsid w:val="004A689A"/>
    <w:rsid w:val="004C1329"/>
    <w:rsid w:val="004F5325"/>
    <w:rsid w:val="00516143"/>
    <w:rsid w:val="005350E7"/>
    <w:rsid w:val="005848F1"/>
    <w:rsid w:val="0060307D"/>
    <w:rsid w:val="00613952"/>
    <w:rsid w:val="0063084E"/>
    <w:rsid w:val="00653E6E"/>
    <w:rsid w:val="006905A8"/>
    <w:rsid w:val="006A0AC2"/>
    <w:rsid w:val="0074253E"/>
    <w:rsid w:val="00771BAC"/>
    <w:rsid w:val="007756C4"/>
    <w:rsid w:val="00781536"/>
    <w:rsid w:val="00791C89"/>
    <w:rsid w:val="007D5B51"/>
    <w:rsid w:val="007E1E8A"/>
    <w:rsid w:val="008424F5"/>
    <w:rsid w:val="008B67B0"/>
    <w:rsid w:val="008C43C0"/>
    <w:rsid w:val="008D524A"/>
    <w:rsid w:val="0094563D"/>
    <w:rsid w:val="00960B52"/>
    <w:rsid w:val="00972844"/>
    <w:rsid w:val="009C0448"/>
    <w:rsid w:val="009D3560"/>
    <w:rsid w:val="00A522C0"/>
    <w:rsid w:val="00AF3FD2"/>
    <w:rsid w:val="00BB5A44"/>
    <w:rsid w:val="00C10D48"/>
    <w:rsid w:val="00C20085"/>
    <w:rsid w:val="00D51AA0"/>
    <w:rsid w:val="00D924BB"/>
    <w:rsid w:val="00DB6E41"/>
    <w:rsid w:val="00DE5369"/>
    <w:rsid w:val="00E85986"/>
    <w:rsid w:val="00EF48DD"/>
    <w:rsid w:val="00F1205C"/>
    <w:rsid w:val="00F13060"/>
    <w:rsid w:val="00F50347"/>
    <w:rsid w:val="00F7229B"/>
    <w:rsid w:val="00F96D87"/>
    <w:rsid w:val="00FB46CC"/>
    <w:rsid w:val="012B64AF"/>
    <w:rsid w:val="016A6FD7"/>
    <w:rsid w:val="01A03A4F"/>
    <w:rsid w:val="01A95C58"/>
    <w:rsid w:val="01C901A1"/>
    <w:rsid w:val="01CF7782"/>
    <w:rsid w:val="01D60B10"/>
    <w:rsid w:val="023D413A"/>
    <w:rsid w:val="0241242E"/>
    <w:rsid w:val="02A81B3F"/>
    <w:rsid w:val="02DA018C"/>
    <w:rsid w:val="02DF39F5"/>
    <w:rsid w:val="02E62FD5"/>
    <w:rsid w:val="03082F4B"/>
    <w:rsid w:val="033B6E7D"/>
    <w:rsid w:val="03960557"/>
    <w:rsid w:val="040C3EA9"/>
    <w:rsid w:val="04AC4FE9"/>
    <w:rsid w:val="06285F77"/>
    <w:rsid w:val="065B7F4B"/>
    <w:rsid w:val="06AB7B59"/>
    <w:rsid w:val="06F7130D"/>
    <w:rsid w:val="073A38EF"/>
    <w:rsid w:val="074E779B"/>
    <w:rsid w:val="07E850D1"/>
    <w:rsid w:val="07ED0962"/>
    <w:rsid w:val="08036E6A"/>
    <w:rsid w:val="081B54CF"/>
    <w:rsid w:val="0828199A"/>
    <w:rsid w:val="0996182F"/>
    <w:rsid w:val="0A0F4F8E"/>
    <w:rsid w:val="0A5A32F8"/>
    <w:rsid w:val="0A742C74"/>
    <w:rsid w:val="0AB45767"/>
    <w:rsid w:val="0AC841C8"/>
    <w:rsid w:val="0ADD6C61"/>
    <w:rsid w:val="0B36158C"/>
    <w:rsid w:val="0C350D8E"/>
    <w:rsid w:val="0CC25B7D"/>
    <w:rsid w:val="0CC4458E"/>
    <w:rsid w:val="0D2B7F62"/>
    <w:rsid w:val="0D3C216F"/>
    <w:rsid w:val="0E5232CD"/>
    <w:rsid w:val="0E8D2083"/>
    <w:rsid w:val="0EEA1757"/>
    <w:rsid w:val="0F3B1FB3"/>
    <w:rsid w:val="0F4C27CC"/>
    <w:rsid w:val="0F5A68DD"/>
    <w:rsid w:val="0FBF159D"/>
    <w:rsid w:val="103D79C9"/>
    <w:rsid w:val="106910FB"/>
    <w:rsid w:val="107734BE"/>
    <w:rsid w:val="10AE2011"/>
    <w:rsid w:val="10F845FF"/>
    <w:rsid w:val="11184383"/>
    <w:rsid w:val="115455AE"/>
    <w:rsid w:val="12463148"/>
    <w:rsid w:val="128F2D41"/>
    <w:rsid w:val="134C0C32"/>
    <w:rsid w:val="13D604FC"/>
    <w:rsid w:val="13EE1CEA"/>
    <w:rsid w:val="146F3E66"/>
    <w:rsid w:val="14CB6C14"/>
    <w:rsid w:val="1568787A"/>
    <w:rsid w:val="156F6CB6"/>
    <w:rsid w:val="15791A87"/>
    <w:rsid w:val="15B8435D"/>
    <w:rsid w:val="15DF5D8E"/>
    <w:rsid w:val="15F71A8D"/>
    <w:rsid w:val="160E01B9"/>
    <w:rsid w:val="161D68B6"/>
    <w:rsid w:val="16225111"/>
    <w:rsid w:val="167A3002"/>
    <w:rsid w:val="167C2B30"/>
    <w:rsid w:val="16893F4C"/>
    <w:rsid w:val="16F615E1"/>
    <w:rsid w:val="1706559C"/>
    <w:rsid w:val="170A6E3A"/>
    <w:rsid w:val="175B03A6"/>
    <w:rsid w:val="179B49B5"/>
    <w:rsid w:val="17C86668"/>
    <w:rsid w:val="17D42996"/>
    <w:rsid w:val="184639D8"/>
    <w:rsid w:val="18A02F42"/>
    <w:rsid w:val="19472589"/>
    <w:rsid w:val="194C58CB"/>
    <w:rsid w:val="198D3D53"/>
    <w:rsid w:val="19921369"/>
    <w:rsid w:val="19DD25E4"/>
    <w:rsid w:val="1A057D8D"/>
    <w:rsid w:val="1ADD03C2"/>
    <w:rsid w:val="1B4641B9"/>
    <w:rsid w:val="1B6A32B9"/>
    <w:rsid w:val="1BB73CF1"/>
    <w:rsid w:val="1BFC1E63"/>
    <w:rsid w:val="1C395ACC"/>
    <w:rsid w:val="1D152095"/>
    <w:rsid w:val="1D8F0099"/>
    <w:rsid w:val="1DB775F0"/>
    <w:rsid w:val="1E2C3B3A"/>
    <w:rsid w:val="1E3E7167"/>
    <w:rsid w:val="1E65704C"/>
    <w:rsid w:val="1E8F6DA4"/>
    <w:rsid w:val="1E954DD4"/>
    <w:rsid w:val="1EC44A42"/>
    <w:rsid w:val="1ECA6EAF"/>
    <w:rsid w:val="1F6B6F1B"/>
    <w:rsid w:val="1F9A5FFD"/>
    <w:rsid w:val="1FC85AE5"/>
    <w:rsid w:val="1FCA53B9"/>
    <w:rsid w:val="20662DFA"/>
    <w:rsid w:val="20785E39"/>
    <w:rsid w:val="20A84649"/>
    <w:rsid w:val="20AF729F"/>
    <w:rsid w:val="21333432"/>
    <w:rsid w:val="216557D7"/>
    <w:rsid w:val="21703D3E"/>
    <w:rsid w:val="217F21D3"/>
    <w:rsid w:val="21C36564"/>
    <w:rsid w:val="21D30729"/>
    <w:rsid w:val="21F20BF7"/>
    <w:rsid w:val="22002BCF"/>
    <w:rsid w:val="22105521"/>
    <w:rsid w:val="224C47AB"/>
    <w:rsid w:val="227D133E"/>
    <w:rsid w:val="229677D4"/>
    <w:rsid w:val="22A31EF1"/>
    <w:rsid w:val="22C17A92"/>
    <w:rsid w:val="22DD18A7"/>
    <w:rsid w:val="233616E8"/>
    <w:rsid w:val="23533917"/>
    <w:rsid w:val="23623B5A"/>
    <w:rsid w:val="23B33488"/>
    <w:rsid w:val="23B819CC"/>
    <w:rsid w:val="23C92457"/>
    <w:rsid w:val="23E66539"/>
    <w:rsid w:val="245D2187"/>
    <w:rsid w:val="249A18B6"/>
    <w:rsid w:val="24B959FC"/>
    <w:rsid w:val="256E67E6"/>
    <w:rsid w:val="261E020C"/>
    <w:rsid w:val="265F1CB1"/>
    <w:rsid w:val="26AC0ACC"/>
    <w:rsid w:val="26DD7622"/>
    <w:rsid w:val="26DE2314"/>
    <w:rsid w:val="26F014C8"/>
    <w:rsid w:val="276500BD"/>
    <w:rsid w:val="27A74090"/>
    <w:rsid w:val="27F44364"/>
    <w:rsid w:val="28133675"/>
    <w:rsid w:val="282B4E63"/>
    <w:rsid w:val="28445F24"/>
    <w:rsid w:val="2895052E"/>
    <w:rsid w:val="28A16C21"/>
    <w:rsid w:val="28E03E9F"/>
    <w:rsid w:val="29763EBB"/>
    <w:rsid w:val="2A0810ED"/>
    <w:rsid w:val="2B084FE7"/>
    <w:rsid w:val="2B0B4AD7"/>
    <w:rsid w:val="2B404781"/>
    <w:rsid w:val="2BA27DEB"/>
    <w:rsid w:val="2BC52ED8"/>
    <w:rsid w:val="2C0A2E19"/>
    <w:rsid w:val="2C262EB3"/>
    <w:rsid w:val="2C5F332D"/>
    <w:rsid w:val="2C5F50DB"/>
    <w:rsid w:val="2C81364F"/>
    <w:rsid w:val="2C9034E6"/>
    <w:rsid w:val="2CF00429"/>
    <w:rsid w:val="2CF021D7"/>
    <w:rsid w:val="2D483DC1"/>
    <w:rsid w:val="2D571083"/>
    <w:rsid w:val="2E0E500A"/>
    <w:rsid w:val="2E110657"/>
    <w:rsid w:val="2E1D349F"/>
    <w:rsid w:val="2E4E1150"/>
    <w:rsid w:val="2E6E3CFB"/>
    <w:rsid w:val="2E857DAE"/>
    <w:rsid w:val="2E9438B8"/>
    <w:rsid w:val="2E976263"/>
    <w:rsid w:val="2EA93067"/>
    <w:rsid w:val="2F6A2714"/>
    <w:rsid w:val="2FE64F44"/>
    <w:rsid w:val="30A43A04"/>
    <w:rsid w:val="30CE282F"/>
    <w:rsid w:val="30D342E9"/>
    <w:rsid w:val="30D51E0F"/>
    <w:rsid w:val="30DA7865"/>
    <w:rsid w:val="30E87D95"/>
    <w:rsid w:val="310444A3"/>
    <w:rsid w:val="312406A1"/>
    <w:rsid w:val="31E973EA"/>
    <w:rsid w:val="32801871"/>
    <w:rsid w:val="32DA54BB"/>
    <w:rsid w:val="32E412D7"/>
    <w:rsid w:val="331533CF"/>
    <w:rsid w:val="333E55C8"/>
    <w:rsid w:val="337C47C4"/>
    <w:rsid w:val="33BA52ED"/>
    <w:rsid w:val="33E0652C"/>
    <w:rsid w:val="34050C5E"/>
    <w:rsid w:val="34160775"/>
    <w:rsid w:val="342235BE"/>
    <w:rsid w:val="34311A53"/>
    <w:rsid w:val="345736E6"/>
    <w:rsid w:val="34711E4F"/>
    <w:rsid w:val="34963664"/>
    <w:rsid w:val="354E2753"/>
    <w:rsid w:val="3576787D"/>
    <w:rsid w:val="35BE7316"/>
    <w:rsid w:val="36415851"/>
    <w:rsid w:val="36620671"/>
    <w:rsid w:val="36806379"/>
    <w:rsid w:val="36EA7B29"/>
    <w:rsid w:val="376B6D2F"/>
    <w:rsid w:val="377203E8"/>
    <w:rsid w:val="378E2D18"/>
    <w:rsid w:val="37AA0E19"/>
    <w:rsid w:val="37E76AA3"/>
    <w:rsid w:val="37F05781"/>
    <w:rsid w:val="38495371"/>
    <w:rsid w:val="386B0CDD"/>
    <w:rsid w:val="3942025E"/>
    <w:rsid w:val="39581830"/>
    <w:rsid w:val="395A1104"/>
    <w:rsid w:val="39CA16D6"/>
    <w:rsid w:val="3A157721"/>
    <w:rsid w:val="3A314864"/>
    <w:rsid w:val="3A322081"/>
    <w:rsid w:val="3A5169AB"/>
    <w:rsid w:val="3A5B15D7"/>
    <w:rsid w:val="3BD77A63"/>
    <w:rsid w:val="3C485B8B"/>
    <w:rsid w:val="3C7F0E81"/>
    <w:rsid w:val="3CAC2179"/>
    <w:rsid w:val="3CB90837"/>
    <w:rsid w:val="3CF278A5"/>
    <w:rsid w:val="3D0A6D79"/>
    <w:rsid w:val="3D8949C3"/>
    <w:rsid w:val="3D934282"/>
    <w:rsid w:val="3D9D38E0"/>
    <w:rsid w:val="3DE11DF4"/>
    <w:rsid w:val="3DF24EB3"/>
    <w:rsid w:val="3E0E2317"/>
    <w:rsid w:val="3E0E7BD0"/>
    <w:rsid w:val="3E6D3687"/>
    <w:rsid w:val="3EA3699E"/>
    <w:rsid w:val="3ED161B3"/>
    <w:rsid w:val="3F373C95"/>
    <w:rsid w:val="3F406FEE"/>
    <w:rsid w:val="3F7F584F"/>
    <w:rsid w:val="3F9F1F66"/>
    <w:rsid w:val="40B90226"/>
    <w:rsid w:val="4117217C"/>
    <w:rsid w:val="41A8165D"/>
    <w:rsid w:val="42CA6661"/>
    <w:rsid w:val="433429C6"/>
    <w:rsid w:val="43611474"/>
    <w:rsid w:val="443B7D84"/>
    <w:rsid w:val="446C2633"/>
    <w:rsid w:val="44801C3A"/>
    <w:rsid w:val="448E6105"/>
    <w:rsid w:val="44E50E3F"/>
    <w:rsid w:val="45596713"/>
    <w:rsid w:val="45B14F35"/>
    <w:rsid w:val="462A65A2"/>
    <w:rsid w:val="4635451F"/>
    <w:rsid w:val="468A7F45"/>
    <w:rsid w:val="468F1304"/>
    <w:rsid w:val="469519CD"/>
    <w:rsid w:val="469B0FAE"/>
    <w:rsid w:val="46B75DE7"/>
    <w:rsid w:val="46F25112"/>
    <w:rsid w:val="476E307D"/>
    <w:rsid w:val="47F210A1"/>
    <w:rsid w:val="480A68C3"/>
    <w:rsid w:val="483B2A48"/>
    <w:rsid w:val="4856518C"/>
    <w:rsid w:val="48E00EFA"/>
    <w:rsid w:val="490C2E05"/>
    <w:rsid w:val="49494CF1"/>
    <w:rsid w:val="494D47E1"/>
    <w:rsid w:val="497F00FD"/>
    <w:rsid w:val="499D6702"/>
    <w:rsid w:val="4A381A7F"/>
    <w:rsid w:val="4A78588E"/>
    <w:rsid w:val="4AA17F1B"/>
    <w:rsid w:val="4ADF60F1"/>
    <w:rsid w:val="4AEC1DD8"/>
    <w:rsid w:val="4B4C5754"/>
    <w:rsid w:val="4B603D34"/>
    <w:rsid w:val="4B663938"/>
    <w:rsid w:val="4B8F7333"/>
    <w:rsid w:val="4BAC3563"/>
    <w:rsid w:val="4BFA22D2"/>
    <w:rsid w:val="4C3677AE"/>
    <w:rsid w:val="4C3A38E2"/>
    <w:rsid w:val="4C3B6274"/>
    <w:rsid w:val="4C8025A6"/>
    <w:rsid w:val="4C983FC5"/>
    <w:rsid w:val="4CCA5EB6"/>
    <w:rsid w:val="4E345F70"/>
    <w:rsid w:val="4E7B3B9E"/>
    <w:rsid w:val="4E8A2441"/>
    <w:rsid w:val="4EAD187E"/>
    <w:rsid w:val="4F265A7B"/>
    <w:rsid w:val="4F2E0C11"/>
    <w:rsid w:val="4FD07F1A"/>
    <w:rsid w:val="504B2837"/>
    <w:rsid w:val="50546455"/>
    <w:rsid w:val="509B22D6"/>
    <w:rsid w:val="50C57353"/>
    <w:rsid w:val="512E4EF8"/>
    <w:rsid w:val="514F30C0"/>
    <w:rsid w:val="51CB2747"/>
    <w:rsid w:val="51DC7F7C"/>
    <w:rsid w:val="52320622"/>
    <w:rsid w:val="527252B8"/>
    <w:rsid w:val="52AE52B6"/>
    <w:rsid w:val="52F757BE"/>
    <w:rsid w:val="530A54F1"/>
    <w:rsid w:val="530B7238"/>
    <w:rsid w:val="53786570"/>
    <w:rsid w:val="53A771E4"/>
    <w:rsid w:val="545D0846"/>
    <w:rsid w:val="54E51D72"/>
    <w:rsid w:val="557D01FC"/>
    <w:rsid w:val="55A27FFF"/>
    <w:rsid w:val="55EE2E19"/>
    <w:rsid w:val="55F10BEA"/>
    <w:rsid w:val="560B1CAC"/>
    <w:rsid w:val="56270168"/>
    <w:rsid w:val="56336B0D"/>
    <w:rsid w:val="5714693E"/>
    <w:rsid w:val="57790E97"/>
    <w:rsid w:val="577B4C0F"/>
    <w:rsid w:val="58D35E44"/>
    <w:rsid w:val="590F5B0B"/>
    <w:rsid w:val="592117E6"/>
    <w:rsid w:val="592B61C1"/>
    <w:rsid w:val="593B28A8"/>
    <w:rsid w:val="59576FB6"/>
    <w:rsid w:val="596B6FBD"/>
    <w:rsid w:val="599E6821"/>
    <w:rsid w:val="59E711F8"/>
    <w:rsid w:val="5A144EA7"/>
    <w:rsid w:val="5A494B51"/>
    <w:rsid w:val="5AA41CEA"/>
    <w:rsid w:val="5AD00DCE"/>
    <w:rsid w:val="5B036411"/>
    <w:rsid w:val="5B9956B7"/>
    <w:rsid w:val="5BB12F18"/>
    <w:rsid w:val="5BD179EE"/>
    <w:rsid w:val="5BE86655"/>
    <w:rsid w:val="5C7B1A0A"/>
    <w:rsid w:val="5C814A76"/>
    <w:rsid w:val="5CE62B2B"/>
    <w:rsid w:val="5DBF0831"/>
    <w:rsid w:val="5E457D25"/>
    <w:rsid w:val="5E6E102A"/>
    <w:rsid w:val="5EA047A9"/>
    <w:rsid w:val="5ED54C05"/>
    <w:rsid w:val="5EE4309A"/>
    <w:rsid w:val="5F245B8C"/>
    <w:rsid w:val="5F2E6A0B"/>
    <w:rsid w:val="5F3D09FC"/>
    <w:rsid w:val="5F41229A"/>
    <w:rsid w:val="5F9525E6"/>
    <w:rsid w:val="5FDB04D8"/>
    <w:rsid w:val="5FF33B25"/>
    <w:rsid w:val="60395667"/>
    <w:rsid w:val="60762418"/>
    <w:rsid w:val="61047A23"/>
    <w:rsid w:val="61532ACB"/>
    <w:rsid w:val="615707D0"/>
    <w:rsid w:val="61842912"/>
    <w:rsid w:val="61AB1547"/>
    <w:rsid w:val="61CF0031"/>
    <w:rsid w:val="62257FFA"/>
    <w:rsid w:val="622639C9"/>
    <w:rsid w:val="62400F9F"/>
    <w:rsid w:val="629E5C56"/>
    <w:rsid w:val="62AB377A"/>
    <w:rsid w:val="62B609B4"/>
    <w:rsid w:val="62CA6D41"/>
    <w:rsid w:val="63192991"/>
    <w:rsid w:val="631B72A6"/>
    <w:rsid w:val="631F6D97"/>
    <w:rsid w:val="63312626"/>
    <w:rsid w:val="63732C3E"/>
    <w:rsid w:val="63A86D8C"/>
    <w:rsid w:val="63B0179C"/>
    <w:rsid w:val="63ED0C43"/>
    <w:rsid w:val="641C6E32"/>
    <w:rsid w:val="64D911C7"/>
    <w:rsid w:val="655C7259"/>
    <w:rsid w:val="661D360E"/>
    <w:rsid w:val="668F5FE1"/>
    <w:rsid w:val="67220AB6"/>
    <w:rsid w:val="674E11C2"/>
    <w:rsid w:val="67C24691"/>
    <w:rsid w:val="68DB53E7"/>
    <w:rsid w:val="696707DD"/>
    <w:rsid w:val="698614C8"/>
    <w:rsid w:val="69AE49D0"/>
    <w:rsid w:val="69D33145"/>
    <w:rsid w:val="6A495A4E"/>
    <w:rsid w:val="6A745C1A"/>
    <w:rsid w:val="6A8F4802"/>
    <w:rsid w:val="6AE461D0"/>
    <w:rsid w:val="6B625A72"/>
    <w:rsid w:val="6B8071BE"/>
    <w:rsid w:val="6BC9041D"/>
    <w:rsid w:val="6C90660F"/>
    <w:rsid w:val="6CBD4F2A"/>
    <w:rsid w:val="6CED39F1"/>
    <w:rsid w:val="6D305371"/>
    <w:rsid w:val="6D7427E2"/>
    <w:rsid w:val="6DAC6487"/>
    <w:rsid w:val="6DEC3D19"/>
    <w:rsid w:val="6E493F8C"/>
    <w:rsid w:val="6EB1286D"/>
    <w:rsid w:val="6F0A4B5D"/>
    <w:rsid w:val="6F5A5B3A"/>
    <w:rsid w:val="6F667AFB"/>
    <w:rsid w:val="6F71329B"/>
    <w:rsid w:val="6F8A1A3C"/>
    <w:rsid w:val="6F9742E9"/>
    <w:rsid w:val="6FAF4FFE"/>
    <w:rsid w:val="6FB46AB9"/>
    <w:rsid w:val="6FC02C1B"/>
    <w:rsid w:val="70052EB5"/>
    <w:rsid w:val="70AC166A"/>
    <w:rsid w:val="70C1148D"/>
    <w:rsid w:val="70EB02B8"/>
    <w:rsid w:val="712E63F7"/>
    <w:rsid w:val="71711A8F"/>
    <w:rsid w:val="717845C7"/>
    <w:rsid w:val="71EC5709"/>
    <w:rsid w:val="71F93AAA"/>
    <w:rsid w:val="7201383B"/>
    <w:rsid w:val="726F6CC7"/>
    <w:rsid w:val="730E533D"/>
    <w:rsid w:val="73124222"/>
    <w:rsid w:val="73634A7D"/>
    <w:rsid w:val="736D76AA"/>
    <w:rsid w:val="737C169B"/>
    <w:rsid w:val="74065409"/>
    <w:rsid w:val="74367A9C"/>
    <w:rsid w:val="74A80B91"/>
    <w:rsid w:val="74FB2A94"/>
    <w:rsid w:val="7501454E"/>
    <w:rsid w:val="755D72AA"/>
    <w:rsid w:val="75B864BD"/>
    <w:rsid w:val="76172A46"/>
    <w:rsid w:val="76402E54"/>
    <w:rsid w:val="76811398"/>
    <w:rsid w:val="76FA7180"/>
    <w:rsid w:val="77253507"/>
    <w:rsid w:val="772B7660"/>
    <w:rsid w:val="772C33D8"/>
    <w:rsid w:val="776A7994"/>
    <w:rsid w:val="77FA34D6"/>
    <w:rsid w:val="784817E2"/>
    <w:rsid w:val="78B37781"/>
    <w:rsid w:val="78FE2B52"/>
    <w:rsid w:val="79112886"/>
    <w:rsid w:val="791A5BDE"/>
    <w:rsid w:val="793842B6"/>
    <w:rsid w:val="79556C16"/>
    <w:rsid w:val="79E05138"/>
    <w:rsid w:val="79EB757B"/>
    <w:rsid w:val="7A2D1941"/>
    <w:rsid w:val="7A97688D"/>
    <w:rsid w:val="7AE73649"/>
    <w:rsid w:val="7AF4420D"/>
    <w:rsid w:val="7B095F0A"/>
    <w:rsid w:val="7C2A29F8"/>
    <w:rsid w:val="7C4E697D"/>
    <w:rsid w:val="7CE54755"/>
    <w:rsid w:val="7D185498"/>
    <w:rsid w:val="7D926FDF"/>
    <w:rsid w:val="7DB52379"/>
    <w:rsid w:val="7DB94E07"/>
    <w:rsid w:val="7DBD122E"/>
    <w:rsid w:val="7DC57939"/>
    <w:rsid w:val="7DE1316F"/>
    <w:rsid w:val="7EC94FAA"/>
    <w:rsid w:val="7EF4206E"/>
    <w:rsid w:val="7F947D6D"/>
    <w:rsid w:val="7FB623D9"/>
    <w:rsid w:val="7FE8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36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33"/>
    <w:autoRedefine/>
    <w:qFormat/>
    <w:uiPriority w:val="0"/>
    <w:pPr>
      <w:keepNext/>
      <w:keepLines/>
      <w:numPr>
        <w:ilvl w:val="0"/>
        <w:numId w:val="1"/>
      </w:numPr>
      <w:ind w:firstLine="360"/>
      <w:outlineLvl w:val="0"/>
    </w:pPr>
    <w:rPr>
      <w:rFonts w:eastAsia="黑体"/>
      <w:bCs/>
      <w:kern w:val="44"/>
      <w:szCs w:val="44"/>
    </w:rPr>
  </w:style>
  <w:style w:type="paragraph" w:styleId="3">
    <w:name w:val="heading 2"/>
    <w:basedOn w:val="1"/>
    <w:next w:val="1"/>
    <w:link w:val="34"/>
    <w:autoRedefine/>
    <w:unhideWhenUsed/>
    <w:qFormat/>
    <w:uiPriority w:val="0"/>
    <w:pPr>
      <w:keepNext/>
      <w:keepLines/>
      <w:numPr>
        <w:ilvl w:val="1"/>
        <w:numId w:val="1"/>
      </w:numPr>
      <w:ind w:firstLine="360"/>
      <w:outlineLvl w:val="1"/>
    </w:pPr>
    <w:rPr>
      <w:rFonts w:eastAsia="楷体_GB2312" w:cstheme="majorBidi"/>
      <w:bCs/>
      <w:szCs w:val="32"/>
    </w:rPr>
  </w:style>
  <w:style w:type="paragraph" w:styleId="4">
    <w:name w:val="heading 3"/>
    <w:basedOn w:val="1"/>
    <w:next w:val="1"/>
    <w:link w:val="39"/>
    <w:autoRedefine/>
    <w:unhideWhenUsed/>
    <w:qFormat/>
    <w:uiPriority w:val="0"/>
    <w:pPr>
      <w:keepNext/>
      <w:keepLines/>
      <w:numPr>
        <w:ilvl w:val="2"/>
        <w:numId w:val="1"/>
      </w:numPr>
      <w:ind w:firstLine="360"/>
      <w:outlineLvl w:val="2"/>
    </w:pPr>
    <w:rPr>
      <w:b/>
    </w:rPr>
  </w:style>
  <w:style w:type="paragraph" w:styleId="5">
    <w:name w:val="heading 4"/>
    <w:basedOn w:val="1"/>
    <w:next w:val="1"/>
    <w:link w:val="38"/>
    <w:autoRedefine/>
    <w:unhideWhenUsed/>
    <w:qFormat/>
    <w:uiPriority w:val="0"/>
    <w:pPr>
      <w:keepNext/>
      <w:keepLines/>
      <w:numPr>
        <w:ilvl w:val="3"/>
        <w:numId w:val="1"/>
      </w:numPr>
      <w:ind w:firstLine="360"/>
      <w:outlineLvl w:val="3"/>
    </w:pPr>
  </w:style>
  <w:style w:type="paragraph" w:styleId="6">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toc 3"/>
    <w:basedOn w:val="1"/>
    <w:next w:val="1"/>
    <w:autoRedefine/>
    <w:qFormat/>
    <w:uiPriority w:val="0"/>
    <w:pPr>
      <w:ind w:left="840" w:leftChars="400"/>
    </w:pPr>
  </w:style>
  <w:style w:type="paragraph" w:styleId="13">
    <w:name w:val="Balloon Text"/>
    <w:basedOn w:val="1"/>
    <w:link w:val="35"/>
    <w:autoRedefine/>
    <w:qFormat/>
    <w:uiPriority w:val="0"/>
    <w:rPr>
      <w:sz w:val="18"/>
      <w:szCs w:val="18"/>
    </w:rPr>
  </w:style>
  <w:style w:type="paragraph" w:styleId="14">
    <w:name w:val="footer"/>
    <w:basedOn w:val="1"/>
    <w:link w:val="29"/>
    <w:autoRedefine/>
    <w:qFormat/>
    <w:uiPriority w:val="0"/>
    <w:pPr>
      <w:tabs>
        <w:tab w:val="center" w:pos="4153"/>
        <w:tab w:val="right" w:pos="8306"/>
      </w:tabs>
      <w:snapToGrid w:val="0"/>
      <w:jc w:val="left"/>
    </w:pPr>
    <w:rPr>
      <w:sz w:val="18"/>
      <w:szCs w:val="18"/>
    </w:rPr>
  </w:style>
  <w:style w:type="paragraph" w:styleId="15">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4"/>
    <w:basedOn w:val="1"/>
    <w:next w:val="1"/>
    <w:autoRedefine/>
    <w:qFormat/>
    <w:uiPriority w:val="0"/>
    <w:pPr>
      <w:ind w:left="1260" w:leftChars="600"/>
    </w:pPr>
  </w:style>
  <w:style w:type="paragraph" w:styleId="18">
    <w:name w:val="Subtitle"/>
    <w:basedOn w:val="1"/>
    <w:next w:val="1"/>
    <w:link w:val="30"/>
    <w:autoRedefine/>
    <w:qFormat/>
    <w:uiPriority w:val="0"/>
    <w:pPr>
      <w:spacing w:before="240" w:after="60" w:line="312" w:lineRule="auto"/>
      <w:jc w:val="center"/>
      <w:outlineLvl w:val="1"/>
    </w:pPr>
    <w:rPr>
      <w:b/>
      <w:bCs/>
      <w:kern w:val="28"/>
      <w:szCs w:val="32"/>
    </w:rPr>
  </w:style>
  <w:style w:type="paragraph" w:styleId="19">
    <w:name w:val="footnote text"/>
    <w:basedOn w:val="1"/>
    <w:link w:val="32"/>
    <w:autoRedefine/>
    <w:qFormat/>
    <w:uiPriority w:val="0"/>
    <w:pPr>
      <w:snapToGrid w:val="0"/>
      <w:jc w:val="left"/>
    </w:pPr>
    <w:rPr>
      <w:sz w:val="18"/>
      <w:szCs w:val="18"/>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rFonts w:cs="Times New Roman"/>
      <w:kern w:val="0"/>
      <w:sz w:val="24"/>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Hyperlink"/>
    <w:basedOn w:val="24"/>
    <w:autoRedefine/>
    <w:qFormat/>
    <w:uiPriority w:val="0"/>
    <w:rPr>
      <w:color w:val="0000FF"/>
      <w:u w:val="single"/>
    </w:rPr>
  </w:style>
  <w:style w:type="character" w:styleId="27">
    <w:name w:val="footnote reference"/>
    <w:basedOn w:val="24"/>
    <w:autoRedefine/>
    <w:qFormat/>
    <w:uiPriority w:val="0"/>
    <w:rPr>
      <w:vertAlign w:val="superscript"/>
    </w:rPr>
  </w:style>
  <w:style w:type="character" w:customStyle="1" w:styleId="28">
    <w:name w:val="页眉 字符"/>
    <w:basedOn w:val="24"/>
    <w:link w:val="15"/>
    <w:autoRedefine/>
    <w:qFormat/>
    <w:uiPriority w:val="99"/>
    <w:rPr>
      <w:sz w:val="18"/>
      <w:szCs w:val="18"/>
    </w:rPr>
  </w:style>
  <w:style w:type="character" w:customStyle="1" w:styleId="29">
    <w:name w:val="页脚 字符"/>
    <w:basedOn w:val="24"/>
    <w:link w:val="14"/>
    <w:autoRedefine/>
    <w:qFormat/>
    <w:uiPriority w:val="99"/>
    <w:rPr>
      <w:sz w:val="18"/>
      <w:szCs w:val="18"/>
    </w:rPr>
  </w:style>
  <w:style w:type="character" w:customStyle="1" w:styleId="30">
    <w:name w:val="副标题 字符"/>
    <w:basedOn w:val="24"/>
    <w:link w:val="18"/>
    <w:autoRedefine/>
    <w:qFormat/>
    <w:uiPriority w:val="11"/>
    <w:rPr>
      <w:b/>
      <w:bCs/>
      <w:kern w:val="28"/>
      <w:sz w:val="32"/>
      <w:szCs w:val="32"/>
    </w:rPr>
  </w:style>
  <w:style w:type="paragraph" w:styleId="31">
    <w:name w:val="List Paragraph"/>
    <w:basedOn w:val="1"/>
    <w:autoRedefine/>
    <w:qFormat/>
    <w:uiPriority w:val="34"/>
    <w:pPr>
      <w:ind w:firstLine="420"/>
    </w:pPr>
  </w:style>
  <w:style w:type="character" w:customStyle="1" w:styleId="32">
    <w:name w:val="脚注文本 字符"/>
    <w:basedOn w:val="24"/>
    <w:link w:val="19"/>
    <w:autoRedefine/>
    <w:semiHidden/>
    <w:qFormat/>
    <w:uiPriority w:val="99"/>
    <w:rPr>
      <w:sz w:val="18"/>
      <w:szCs w:val="18"/>
    </w:rPr>
  </w:style>
  <w:style w:type="character" w:customStyle="1" w:styleId="33">
    <w:name w:val="标题 1 字符"/>
    <w:basedOn w:val="24"/>
    <w:link w:val="2"/>
    <w:autoRedefine/>
    <w:qFormat/>
    <w:uiPriority w:val="9"/>
    <w:rPr>
      <w:rFonts w:ascii="Times New Roman" w:hAnsi="Times New Roman" w:eastAsia="黑体"/>
      <w:bCs/>
      <w:kern w:val="44"/>
      <w:sz w:val="32"/>
      <w:szCs w:val="44"/>
    </w:rPr>
  </w:style>
  <w:style w:type="character" w:customStyle="1" w:styleId="34">
    <w:name w:val="标题 2 字符"/>
    <w:basedOn w:val="24"/>
    <w:link w:val="3"/>
    <w:autoRedefine/>
    <w:qFormat/>
    <w:uiPriority w:val="9"/>
    <w:rPr>
      <w:rFonts w:ascii="Times New Roman" w:hAnsi="Times New Roman" w:eastAsia="楷体_GB2312" w:cstheme="majorBidi"/>
      <w:bCs/>
      <w:sz w:val="32"/>
      <w:szCs w:val="32"/>
    </w:rPr>
  </w:style>
  <w:style w:type="character" w:customStyle="1" w:styleId="35">
    <w:name w:val="批注框文本 字符"/>
    <w:basedOn w:val="24"/>
    <w:link w:val="13"/>
    <w:autoRedefine/>
    <w:semiHidden/>
    <w:qFormat/>
    <w:uiPriority w:val="99"/>
    <w:rPr>
      <w:sz w:val="18"/>
      <w:szCs w:val="18"/>
    </w:rPr>
  </w:style>
  <w:style w:type="character" w:customStyle="1" w:styleId="36">
    <w:name w:val="font11"/>
    <w:basedOn w:val="24"/>
    <w:autoRedefine/>
    <w:qFormat/>
    <w:uiPriority w:val="0"/>
    <w:rPr>
      <w:rFonts w:hint="eastAsia" w:ascii="宋体" w:hAnsi="宋体" w:eastAsia="宋体" w:cs="宋体"/>
      <w:b/>
      <w:bCs/>
      <w:color w:val="000000"/>
      <w:sz w:val="32"/>
      <w:szCs w:val="32"/>
      <w:u w:val="none"/>
      <w:vertAlign w:val="subscript"/>
    </w:rPr>
  </w:style>
  <w:style w:type="character" w:customStyle="1" w:styleId="37">
    <w:name w:val="font41"/>
    <w:basedOn w:val="24"/>
    <w:autoRedefine/>
    <w:qFormat/>
    <w:uiPriority w:val="0"/>
    <w:rPr>
      <w:rFonts w:hint="eastAsia" w:ascii="宋体" w:hAnsi="宋体" w:eastAsia="宋体" w:cs="宋体"/>
      <w:b/>
      <w:bCs/>
      <w:color w:val="000000"/>
      <w:sz w:val="32"/>
      <w:szCs w:val="32"/>
      <w:u w:val="none"/>
      <w:vertAlign w:val="superscript"/>
    </w:rPr>
  </w:style>
  <w:style w:type="character" w:customStyle="1" w:styleId="38">
    <w:name w:val="标题 4 字符"/>
    <w:link w:val="5"/>
    <w:autoRedefine/>
    <w:qFormat/>
    <w:uiPriority w:val="0"/>
    <w:rPr>
      <w:rFonts w:ascii="Times New Roman" w:hAnsi="Times New Roman" w:eastAsia="仿宋_GB2312"/>
      <w:sz w:val="32"/>
    </w:rPr>
  </w:style>
  <w:style w:type="character" w:customStyle="1" w:styleId="39">
    <w:name w:val="标题 3 字符"/>
    <w:link w:val="4"/>
    <w:autoRedefine/>
    <w:qFormat/>
    <w:uiPriority w:val="0"/>
    <w:rPr>
      <w:rFonts w:ascii="Times New Roman" w:hAnsi="Times New Roman" w:eastAsia="仿宋_GB2312"/>
      <w:b/>
      <w:sz w:val="32"/>
    </w:rPr>
  </w:style>
  <w:style w:type="paragraph" w:customStyle="1" w:styleId="40">
    <w:name w:val="表格"/>
    <w:basedOn w:val="1"/>
    <w:autoRedefine/>
    <w:qFormat/>
    <w:uiPriority w:val="0"/>
    <w:pPr>
      <w:widowControl/>
      <w:spacing w:line="240" w:lineRule="auto"/>
      <w:ind w:firstLine="0" w:firstLineChars="0"/>
      <w:jc w:val="center"/>
      <w:textAlignment w:val="center"/>
    </w:pPr>
    <w:rPr>
      <w:rFonts w:cs="Times New Roman"/>
      <w:color w:val="000000" w:themeColor="text1"/>
      <w:kern w:val="0"/>
      <w:sz w:val="28"/>
      <w:szCs w:val="28"/>
      <w:lang w:bidi="ar"/>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X\Desktop\&#28392;&#27743;&#23395;&#25253;&#25968;&#2545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853410740203"/>
          <c:y val="0.15289153636138"/>
          <c:w val="0.488824383164006"/>
          <c:h val="0.835939439066766"/>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美国</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88</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28%</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15:layout>
                    <c:manualLayout>
                      <c:w val="0.235994194484761"/>
                      <c:h val="0.139985107967238"/>
                    </c:manualLayout>
                  </c15:layout>
                </c:ext>
              </c:extLst>
            </c:dLbl>
            <c:dLbl>
              <c:idx val="1"/>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欧洲</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55</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lang="en-US" altLang="zh-CN" sz="1050">
                        <a:latin typeface="Times New Roman" panose="02020603050405020304" charset="0"/>
                        <a:ea typeface="宋体" panose="02010600030101010101" charset="-122"/>
                        <a:cs typeface="Times New Roman" panose="02020603050405020304" charset="0"/>
                        <a:sym typeface="Times New Roman" panose="02020603050405020304" charset="0"/>
                      </a:rPr>
                      <a:t>20</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15:layout>
                    <c:manualLayout>
                      <c:w val="0.256603773584906"/>
                      <c:h val="0.139985107967238"/>
                    </c:manualLayout>
                  </c15:layout>
                </c:ext>
              </c:extLst>
            </c:dLbl>
            <c:dLbl>
              <c:idx val="2"/>
              <c:layout>
                <c:manualLayout>
                  <c:x val="-0.163134978229317"/>
                  <c:y val="0"/>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3"/>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日本</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49</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1</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6</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3"/>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98693759071118"/>
                      <c:h val="0.0987838173243981"/>
                    </c:manualLayout>
                  </c15:layout>
                </c:ext>
              </c:extLst>
            </c:dLbl>
            <c:dLbl>
              <c:idx val="3"/>
              <c:layout>
                <c:manualLayout>
                  <c:x val="0.0150943396226415"/>
                  <c:y val="0.0141474311243485"/>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4"/>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韩国</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48</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1</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6</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4"/>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55587808417997"/>
                      <c:h val="0.139985107967238"/>
                    </c:manualLayout>
                  </c15:layout>
                </c:ext>
              </c:extLst>
            </c:dLbl>
            <c:dLbl>
              <c:idx val="4"/>
              <c:layout>
                <c:manualLayout>
                  <c:x val="-0.04112785578876"/>
                  <c:y val="0.0918342020352444"/>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5"/>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印度</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16</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5%</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5"/>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61973875181422"/>
                      <c:h val="0.139985107967238"/>
                    </c:manualLayout>
                  </c15:layout>
                </c:ext>
              </c:extLst>
            </c:dLbl>
            <c:dLbl>
              <c:idx val="5"/>
              <c:layout>
                <c:manualLayout>
                  <c:x val="-0.0959361393323658"/>
                  <c:y val="0.103996028791263"/>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6"/>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德国</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12</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3%</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6"/>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18577648766328"/>
                      <c:h val="0.139985107967238"/>
                    </c:manualLayout>
                  </c15:layout>
                </c:ext>
              </c:extLst>
            </c:dLbl>
            <c:dLbl>
              <c:idx val="6"/>
              <c:layout>
                <c:manualLayout>
                  <c:x val="-0.129027576197388"/>
                  <c:y val="0.0893521965748329"/>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1">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欧盟</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11</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3%</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1">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29462989840348"/>
                      <c:h val="0.139985107967238"/>
                    </c:manualLayout>
                  </c15:layout>
                </c:ext>
              </c:extLst>
            </c:dLbl>
            <c:dLbl>
              <c:idx val="7"/>
              <c:layout>
                <c:manualLayout>
                  <c:x val="-0.150653120464441"/>
                  <c:y val="0.0225862496897493"/>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2">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英国</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8</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2%</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2">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142526497428286"/>
                  <c:y val="-0.035296258051618"/>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bg2">
                            <a:lumMod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a:solidFill>
                          <a:schemeClr val="bg2">
                            <a:lumMod val="50000"/>
                          </a:schemeClr>
                        </a:solidFill>
                      </a:rPr>
                      <a:t>巴西</a:t>
                    </a:r>
                    <a:r>
                      <a:rPr lang="en-US" altLang="zh-CN">
                        <a:solidFill>
                          <a:schemeClr val="bg2">
                            <a:lumMod val="50000"/>
                          </a:schemeClr>
                        </a:solidFill>
                      </a:rPr>
                      <a:t>: 4</a:t>
                    </a:r>
                    <a:r>
                      <a:rPr>
                        <a:solidFill>
                          <a:schemeClr val="bg2">
                            <a:lumMod val="50000"/>
                          </a:schemeClr>
                        </a:solidFill>
                      </a:rPr>
                      <a:t>，1%</a:t>
                    </a:r>
                    <a:endParaRPr>
                      <a:solidFill>
                        <a:schemeClr val="bg2">
                          <a:lumMod val="50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bg2">
                          <a:lumMod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3926097311493"/>
                  <c:y val="-0.0866134252329819"/>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4">
                            <a:lumMod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a:solidFill>
                          <a:schemeClr val="accent4">
                            <a:lumMod val="50000"/>
                          </a:schemeClr>
                        </a:solidFill>
                      </a:rPr>
                      <a:t>新加坡</a:t>
                    </a:r>
                    <a:r>
                      <a:rPr lang="en-US" altLang="zh-CN">
                        <a:solidFill>
                          <a:schemeClr val="accent4">
                            <a:lumMod val="50000"/>
                          </a:schemeClr>
                        </a:solidFill>
                      </a:rPr>
                      <a:t>: 4</a:t>
                    </a:r>
                    <a:r>
                      <a:rPr altLang="en-US">
                        <a:solidFill>
                          <a:schemeClr val="accent4">
                            <a:lumMod val="50000"/>
                          </a:schemeClr>
                        </a:solidFill>
                        <a:ea typeface="宋体" panose="02010600030101010101" charset="-122"/>
                      </a:rPr>
                      <a:t>，</a:t>
                    </a:r>
                    <a:r>
                      <a:rPr>
                        <a:solidFill>
                          <a:schemeClr val="accent4">
                            <a:lumMod val="50000"/>
                          </a:schemeClr>
                        </a:solidFill>
                      </a:rPr>
                      <a:t>1%</a:t>
                    </a:r>
                    <a:endParaRPr>
                      <a:solidFill>
                        <a:schemeClr val="accent4">
                          <a:lumMod val="50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4">
                          <a:lumMod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7300435413643"/>
                      <c:h val="0.0672623479771655"/>
                    </c:manualLayout>
                  </c15:layout>
                </c:ext>
              </c:extLst>
            </c:dLbl>
            <c:dLbl>
              <c:idx val="10"/>
              <c:layout>
                <c:manualLayout>
                  <c:x val="0.0761973875181422"/>
                  <c:y val="0.011169024571854"/>
                </c:manualLayout>
              </c:layout>
              <c:tx>
                <c:rich>
                  <a:bodyPr rot="0" spcFirstLastPara="0" vertOverflow="ellipsis" vert="horz" wrap="square" lIns="38100" tIns="19050" rIns="38100" bIns="19050" anchor="ctr" anchorCtr="1"/>
                  <a:lstStyle/>
                  <a:p>
                    <a:pPr defTabSz="914400">
                      <a:defRPr lang="zh-CN" sz="1050" b="1" i="0" u="none" strike="noStrike" kern="1200" spc="0" baseline="0">
                        <a:solidFill>
                          <a:schemeClr val="accent5">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其他</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24</a:t>
                    </a:r>
                    <a:r>
                      <a:rPr altLang="en-US" sz="1050">
                        <a:latin typeface="Times New Roman" panose="02020603050405020304" charset="0"/>
                        <a:ea typeface="宋体" panose="02010600030101010101" charset="-122"/>
                        <a:cs typeface="Times New Roman" panose="02020603050405020304" charset="0"/>
                        <a:sym typeface="Times New Roman" panose="02020603050405020304" charset="0"/>
                      </a:rPr>
                      <a:t>，</a:t>
                    </a:r>
                    <a:r>
                      <a:rPr sz="1050">
                        <a:latin typeface="Times New Roman" panose="02020603050405020304" charset="0"/>
                        <a:ea typeface="Times New Roman" panose="02020603050405020304" charset="0"/>
                        <a:cs typeface="Times New Roman" panose="02020603050405020304" charset="0"/>
                        <a:sym typeface="Times New Roman" panose="02020603050405020304" charset="0"/>
                      </a:rPr>
                      <a:t>5%</a:t>
                    </a:r>
                    <a:endParaRPr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5">
                          <a:lumMod val="6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69230769230769"/>
                      <c:h val="0.0761975676346488"/>
                    </c:manualLayout>
                  </c15:layout>
                </c:ext>
              </c:extLst>
            </c:dLbl>
            <c:spPr>
              <a:noFill/>
              <a:ln>
                <a:noFill/>
              </a:ln>
              <a:effectLst/>
            </c:spPr>
            <c:txPr>
              <a:bodyPr rot="0" spcFirstLastPara="0" vertOverflow="ellipsis" vert="horz" wrap="square" lIns="38100" tIns="19050" rIns="38100" bIns="19050" anchor="ctr" anchorCtr="1"/>
              <a:lstStyle/>
              <a:p>
                <a:pPr>
                  <a:defRPr lang="zh-CN" sz="1050" b="1" i="0" u="none" strike="noStrike" kern="1200" spc="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美国</c:v>
                </c:pt>
                <c:pt idx="1">
                  <c:v>欧洲</c:v>
                </c:pt>
                <c:pt idx="2">
                  <c:v>日本</c:v>
                </c:pt>
                <c:pt idx="3">
                  <c:v>韩国</c:v>
                </c:pt>
                <c:pt idx="4">
                  <c:v>印度</c:v>
                </c:pt>
                <c:pt idx="5">
                  <c:v>德国</c:v>
                </c:pt>
                <c:pt idx="6">
                  <c:v>欧盟</c:v>
                </c:pt>
                <c:pt idx="7">
                  <c:v>英国</c:v>
                </c:pt>
                <c:pt idx="8">
                  <c:v>巴西</c:v>
                </c:pt>
                <c:pt idx="9">
                  <c:v>新加坡</c:v>
                </c:pt>
                <c:pt idx="10">
                  <c:v>其他</c:v>
                </c:pt>
              </c:strCache>
            </c:strRef>
          </c:cat>
          <c:val>
            <c:numRef>
              <c:f>Sheet1!$D$2:$D$12</c:f>
              <c:numCache>
                <c:formatCode>0.00%</c:formatCode>
                <c:ptCount val="11"/>
                <c:pt idx="0">
                  <c:v>0.282958199356913</c:v>
                </c:pt>
                <c:pt idx="1">
                  <c:v>0.176848874598071</c:v>
                </c:pt>
                <c:pt idx="2">
                  <c:v>0.157556270096463</c:v>
                </c:pt>
                <c:pt idx="3">
                  <c:v>0.154340836012862</c:v>
                </c:pt>
                <c:pt idx="4">
                  <c:v>0.0514469453376206</c:v>
                </c:pt>
                <c:pt idx="5">
                  <c:v>0.0385852090032154</c:v>
                </c:pt>
                <c:pt idx="6">
                  <c:v>0.0353697749196141</c:v>
                </c:pt>
                <c:pt idx="7">
                  <c:v>0.0257234726688103</c:v>
                </c:pt>
                <c:pt idx="8">
                  <c:v>0.0128617363344051</c:v>
                </c:pt>
                <c:pt idx="9">
                  <c:v>0.0128617363344051</c:v>
                </c:pt>
                <c:pt idx="10">
                  <c:v>0.0514469453376206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E5F4-2AE3-475D-B6B3-46CB27710BD3}">
  <ds:schemaRefs/>
</ds:datastoreItem>
</file>

<file path=docProps/app.xml><?xml version="1.0" encoding="utf-8"?>
<Properties xmlns="http://schemas.openxmlformats.org/officeDocument/2006/extended-properties" xmlns:vt="http://schemas.openxmlformats.org/officeDocument/2006/docPropsVTypes">
  <Template>Normal</Template>
  <Manager>Abu设计</Manager>
  <Company>Abu设计</Company>
  <Pages>20</Pages>
  <Words>8084</Words>
  <Characters>11055</Characters>
  <Lines>68</Lines>
  <Paragraphs>19</Paragraphs>
  <TotalTime>3</TotalTime>
  <ScaleCrop>false</ScaleCrop>
  <LinksUpToDate>false</LinksUpToDate>
  <CharactersWithSpaces>11199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2021-06-17T03:40:00Z</dcterms:created>
  <dc:creator>3</dc:creator>
  <dc:description>更多Abu设计的信纸请访问
http://chn.docer.com/works?userid=415014680
谢谢支持</dc:description>
  <cp:keywords>信纸 信笺背景</cp:keywords>
  <cp:lastModifiedBy>知识产权科小工组</cp:lastModifiedBy>
  <dcterms:modified xsi:type="dcterms:W3CDTF">2024-07-30T11:30:25Z</dcterms:modified>
  <dc:subject>信纸</dc:subject>
  <dc:title>信纸-Abu设计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20E375CF0D41452C8B8F200B1D1DE89F_13</vt:lpwstr>
  </property>
</Properties>
</file>